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73CB" w14:textId="5AB78354" w:rsidR="00C137E1" w:rsidRDefault="00DE7E0D">
      <w:pPr>
        <w:ind w:left="1800" w:righ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9B29E" wp14:editId="430966BF">
                <wp:simplePos x="0" y="0"/>
                <wp:positionH relativeFrom="column">
                  <wp:posOffset>577215</wp:posOffset>
                </wp:positionH>
                <wp:positionV relativeFrom="paragraph">
                  <wp:posOffset>85725</wp:posOffset>
                </wp:positionV>
                <wp:extent cx="5486400" cy="304800"/>
                <wp:effectExtent l="5715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BCDA7" w14:textId="77777777" w:rsidR="00EB6805" w:rsidRPr="00C137E1" w:rsidRDefault="00EB6805" w:rsidP="0036671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Office of the Dean</w:t>
                            </w:r>
                          </w:p>
                          <w:p w14:paraId="381D4E91" w14:textId="759F9FB0" w:rsidR="00EB6805" w:rsidRPr="00366713" w:rsidRDefault="00EB6805" w:rsidP="0036671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6671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College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F108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 Arts Humanities and Social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B2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45pt;margin-top:6.75pt;width:6in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" filled="f" stroked="f">
                <v:textbox inset="0,0,0,0">
                  <w:txbxContent>
                    <w:p w14:paraId="354BCDA7" w14:textId="77777777" w:rsidR="00EB6805" w:rsidRPr="00C137E1" w:rsidRDefault="00EB6805" w:rsidP="0036671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Office of the Dean</w:t>
                      </w:r>
                    </w:p>
                    <w:p w14:paraId="381D4E91" w14:textId="759F9FB0" w:rsidR="00EB6805" w:rsidRPr="00366713" w:rsidRDefault="00EB6805" w:rsidP="0036671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66713">
                        <w:rPr>
                          <w:rFonts w:ascii="Arial" w:hAnsi="Arial"/>
                          <w:sz w:val="16"/>
                          <w:szCs w:val="16"/>
                        </w:rPr>
                        <w:t>College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</w:t>
                      </w:r>
                      <w:r w:rsidR="00F1080B">
                        <w:rPr>
                          <w:rFonts w:ascii="Arial" w:hAnsi="Arial"/>
                          <w:sz w:val="16"/>
                          <w:szCs w:val="16"/>
                        </w:rPr>
                        <w:t>f Arts Humanities and Social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C6FF7E8" w14:textId="77777777" w:rsidR="00366713" w:rsidRDefault="00366713">
      <w:pPr>
        <w:ind w:left="1800" w:right="1800"/>
      </w:pPr>
    </w:p>
    <w:p w14:paraId="2E864BDC" w14:textId="74EF633A" w:rsidR="00366713" w:rsidRDefault="003C368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64158" wp14:editId="6A72FC80">
                <wp:simplePos x="0" y="0"/>
                <wp:positionH relativeFrom="column">
                  <wp:posOffset>-42153</wp:posOffset>
                </wp:positionH>
                <wp:positionV relativeFrom="paragraph">
                  <wp:posOffset>164289</wp:posOffset>
                </wp:positionV>
                <wp:extent cx="6950710" cy="7377728"/>
                <wp:effectExtent l="0" t="0" r="889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7377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EB72" w14:textId="77777777" w:rsidR="006E0347" w:rsidRDefault="006E0347" w:rsidP="006E0347"/>
                          <w:p w14:paraId="19423275" w14:textId="6AB0E1A0" w:rsidR="006E0347" w:rsidRPr="00F04EEE" w:rsidRDefault="007C0A09" w:rsidP="00F04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Tenure-line</w:t>
                            </w:r>
                            <w:r w:rsidR="00F04EEE" w:rsidRPr="00F04EEE">
                              <w:rPr>
                                <w:b/>
                              </w:rPr>
                              <w:t xml:space="preserve"> Faculty Position Request Process</w:t>
                            </w:r>
                          </w:p>
                          <w:p w14:paraId="420C658F" w14:textId="08B96016" w:rsidR="00F04EEE" w:rsidRDefault="00C859D7" w:rsidP="00F04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For Searches in AY 2018-19</w:t>
                            </w:r>
                          </w:p>
                          <w:p w14:paraId="31FA48B5" w14:textId="77777777" w:rsidR="00F04EEE" w:rsidRDefault="00F04EEE" w:rsidP="00F04EEE"/>
                          <w:p w14:paraId="48E9ED60" w14:textId="51444F1F" w:rsidR="007C0A09" w:rsidRPr="007C0A09" w:rsidRDefault="007C0A09" w:rsidP="00F04E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Proposal Format</w:t>
                            </w:r>
                          </w:p>
                          <w:p w14:paraId="14A3CCC5" w14:textId="77777777" w:rsidR="007C0A09" w:rsidRDefault="007C0A09" w:rsidP="00F04EE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9C2A88" w14:textId="21AB90B2" w:rsidR="007C0A09" w:rsidRDefault="007C0A09" w:rsidP="00F04EEE">
                            <w:r>
                              <w:t>Tenure-line faculty position requests (for searches</w:t>
                            </w:r>
                            <w:r w:rsidR="001A6591">
                              <w:t xml:space="preserve"> in 2018-19 and start dates in F</w:t>
                            </w:r>
                            <w:r>
                              <w:t>all, 2019) should include the following information:</w:t>
                            </w:r>
                          </w:p>
                          <w:p w14:paraId="52EF8D45" w14:textId="77777777" w:rsidR="007C0A09" w:rsidRDefault="007C0A09" w:rsidP="00F04EEE"/>
                          <w:p w14:paraId="10B6D1C6" w14:textId="692AF680" w:rsidR="007C0A09" w:rsidRDefault="00393408" w:rsidP="00393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Brief d</w:t>
                            </w:r>
                            <w:r w:rsidR="007C0A09">
                              <w:t>escription of position</w:t>
                            </w:r>
                            <w:r>
                              <w:t xml:space="preserve"> (1-2 paragraphs)</w:t>
                            </w:r>
                          </w:p>
                          <w:p w14:paraId="68F78C34" w14:textId="26D28867" w:rsidR="00393408" w:rsidRDefault="00393408" w:rsidP="0039340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Substantive area(s)</w:t>
                            </w:r>
                          </w:p>
                          <w:p w14:paraId="1970902F" w14:textId="0E582734" w:rsidR="00393408" w:rsidRDefault="00393408" w:rsidP="0039340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Anticipated start-up costs</w:t>
                            </w:r>
                          </w:p>
                          <w:p w14:paraId="4DAA184C" w14:textId="7B64AF11" w:rsidR="00393408" w:rsidRDefault="00393408" w:rsidP="0039340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Program(s)/major(s) served by position</w:t>
                            </w:r>
                          </w:p>
                          <w:p w14:paraId="303F7FD1" w14:textId="1804AFCE" w:rsidR="00393408" w:rsidRDefault="00393408" w:rsidP="00393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Justification based on</w:t>
                            </w:r>
                            <w:r w:rsidR="001A6591">
                              <w:t xml:space="preserve"> Provost’s</w:t>
                            </w:r>
                            <w:r w:rsidR="007E2B83">
                              <w:t xml:space="preserve"> prioritization</w:t>
                            </w:r>
                            <w:r>
                              <w:t xml:space="preserve"> criteria</w:t>
                            </w:r>
                            <w:r w:rsidR="001A6591">
                              <w:t xml:space="preserve"> (below)</w:t>
                            </w:r>
                            <w:r w:rsidR="005C5379">
                              <w:t xml:space="preserve"> 2 </w:t>
                            </w:r>
                            <w:r>
                              <w:t>page maximum)</w:t>
                            </w:r>
                          </w:p>
                          <w:p w14:paraId="5ED1C5DF" w14:textId="09986DE1" w:rsidR="00393408" w:rsidRDefault="00393408" w:rsidP="003934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Proposed course load for 4 years with statement of impact on instructional costs in program/department (1paragraph)</w:t>
                            </w:r>
                          </w:p>
                          <w:p w14:paraId="08E6D238" w14:textId="77777777" w:rsidR="007C0A09" w:rsidRDefault="007C0A09" w:rsidP="00F04EE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1D6029" w14:textId="4EE4981D" w:rsidR="007C0A09" w:rsidRDefault="00240F2F" w:rsidP="00F04E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Provost’s </w:t>
                            </w:r>
                            <w:r w:rsidR="007C0A09">
                              <w:rPr>
                                <w:u w:val="single"/>
                              </w:rPr>
                              <w:t>Criteria for Prioritization</w:t>
                            </w:r>
                            <w:r>
                              <w:rPr>
                                <w:u w:val="single"/>
                              </w:rPr>
                              <w:t xml:space="preserve"> (from Memo to Deans 8/14/18)</w:t>
                            </w:r>
                          </w:p>
                          <w:p w14:paraId="205A367D" w14:textId="3105BD7D" w:rsidR="001A6591" w:rsidRPr="001A6591" w:rsidRDefault="001A6591" w:rsidP="001A659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</w:rPr>
                            </w:pPr>
                            <w:r w:rsidRPr="001A6591">
                              <w:rPr>
                                <w:rFonts w:ascii="Times" w:hAnsi="Times" w:cs="Calibri"/>
                              </w:rPr>
                              <w:t>Positions authorized will positively impact</w:t>
                            </w:r>
                            <w:r w:rsidR="000140AB">
                              <w:rPr>
                                <w:rFonts w:ascii="Times" w:hAnsi="Times" w:cs="Calibri"/>
                              </w:rPr>
                              <w:t xml:space="preserve"> diversity, equity, and</w:t>
                            </w:r>
                            <w:r w:rsidRPr="001A6591">
                              <w:rPr>
                                <w:rFonts w:ascii="Times" w:hAnsi="Times" w:cs="Calibri"/>
                              </w:rPr>
                              <w:t xml:space="preserve"> student success goals of increased retention, timely graduation, and reduction of opportunity and access gaps outlined in GI2025.</w:t>
                            </w:r>
                          </w:p>
                          <w:p w14:paraId="66EE02B8" w14:textId="0B50CCA0" w:rsidR="001A6591" w:rsidRPr="001A6591" w:rsidRDefault="001A6591" w:rsidP="001A659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 w:cs="Calibri"/>
                              </w:rPr>
                              <w:t xml:space="preserve">Positions authorized will </w:t>
                            </w:r>
                            <w:r w:rsidR="00015C71">
                              <w:rPr>
                                <w:rFonts w:ascii="Times" w:hAnsi="Times" w:cs="Calibri"/>
                              </w:rPr>
                              <w:t>invest</w:t>
                            </w:r>
                            <w:r>
                              <w:rPr>
                                <w:rFonts w:ascii="Times" w:hAnsi="Times" w:cs="Calibri"/>
                              </w:rPr>
                              <w:t xml:space="preserve"> in programs/units that demonstrate a commitment to programmatic/curricular assessment and closing the loop on assessment data and continuous improvement. These programs</w:t>
                            </w:r>
                            <w:r w:rsidRPr="001A6591">
                              <w:rPr>
                                <w:rFonts w:ascii="Times" w:hAnsi="Times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Calibri"/>
                              </w:rPr>
                              <w:t xml:space="preserve">have capacity for excellence and additional growth. </w:t>
                            </w:r>
                            <w:r w:rsidRPr="001A6591">
                              <w:rPr>
                                <w:rFonts w:ascii="Times" w:hAnsi="Times" w:cs="Calibri"/>
                              </w:rPr>
                              <w:t xml:space="preserve"> These are programs that are well positioned to</w:t>
                            </w:r>
                            <w:r>
                              <w:rPr>
                                <w:rFonts w:ascii="Times" w:hAnsi="Times" w:cs="Calibri"/>
                              </w:rPr>
                              <w:t>, with additional faculty resource</w:t>
                            </w:r>
                            <w:r w:rsidRPr="001A6591">
                              <w:rPr>
                                <w:rFonts w:ascii="Times" w:hAnsi="Times" w:cs="Calibri"/>
                              </w:rPr>
                              <w:t xml:space="preserve"> (i) establish a clear record of student success, (ii) can show evidence of student learning, (iii) demonstrate prudent management of department/unit resources/economy (including workload and course offerings), (iv) can show evidence that the undergraduate (UG) graduation rate has improved over the past 2 academic years, (v) can show evidence that UG retention rates from Year 1 to Year 2 are reaching 80%, and (vi) eliminate equity gaps in courses/programs. </w:t>
                            </w:r>
                          </w:p>
                          <w:p w14:paraId="00E33964" w14:textId="017FB886" w:rsidR="007C0A09" w:rsidRPr="001A6591" w:rsidRDefault="001A6591" w:rsidP="00F04EE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 w:cs="Calibri"/>
                              </w:rPr>
                              <w:t xml:space="preserve">Positions authorized will help achieve student success goals (GI 2025), support class coverage and enrollment pressure demands (particularly in units/programs experiencing diminished instructional faculty FTE). </w:t>
                            </w:r>
                          </w:p>
                          <w:p w14:paraId="69C40485" w14:textId="70F6D8D9" w:rsidR="00F04EEE" w:rsidRDefault="007C0A09" w:rsidP="00F04EEE">
                            <w:r>
                              <w:rPr>
                                <w:u w:val="single"/>
                              </w:rPr>
                              <w:t xml:space="preserve">Process Steps and </w:t>
                            </w:r>
                            <w:r w:rsidR="00F04EEE" w:rsidRPr="00F04EEE">
                              <w:rPr>
                                <w:u w:val="single"/>
                              </w:rPr>
                              <w:t>Timeframe</w:t>
                            </w:r>
                            <w:r w:rsidR="00F04EEE">
                              <w:t>:</w:t>
                            </w:r>
                          </w:p>
                          <w:p w14:paraId="1FEE4812" w14:textId="77777777" w:rsidR="00F04EEE" w:rsidRDefault="00F04EEE" w:rsidP="00F04EEE"/>
                          <w:p w14:paraId="71DF14E5" w14:textId="2C9F08DA" w:rsidR="00F04EEE" w:rsidRDefault="00F04EEE" w:rsidP="00F04EEE">
                            <w:r>
                              <w:t>Proposals</w:t>
                            </w:r>
                            <w:r w:rsidR="005C5379">
                              <w:t xml:space="preserve"> and Form 200</w:t>
                            </w:r>
                            <w:r>
                              <w:t xml:space="preserve"> due</w:t>
                            </w:r>
                            <w:r w:rsidR="007C0A09">
                              <w:t xml:space="preserve"> (electronic)</w:t>
                            </w:r>
                            <w:r>
                              <w:t xml:space="preserve"> to Shannon Collart from Chairs by (COB) </w:t>
                            </w:r>
                            <w:r w:rsidR="005C5379">
                              <w:rPr>
                                <w:b/>
                              </w:rPr>
                              <w:t>August 27</w:t>
                            </w:r>
                            <w:r w:rsidRPr="00015C71">
                              <w:rPr>
                                <w:b/>
                              </w:rPr>
                              <w:t>, 2018</w:t>
                            </w:r>
                          </w:p>
                          <w:p w14:paraId="30B125B3" w14:textId="17AE1995" w:rsidR="00F04EEE" w:rsidRDefault="00F04EEE" w:rsidP="00F04EEE">
                            <w:r>
                              <w:t xml:space="preserve">Proposals available for view on shared drive by (COB) </w:t>
                            </w:r>
                            <w:r w:rsidR="005C5379">
                              <w:rPr>
                                <w:b/>
                              </w:rPr>
                              <w:t>August 28</w:t>
                            </w:r>
                            <w:r w:rsidRPr="007C0A09">
                              <w:rPr>
                                <w:b/>
                              </w:rPr>
                              <w:t>, 2018</w:t>
                            </w:r>
                          </w:p>
                          <w:p w14:paraId="22F1DD6E" w14:textId="14B20DFE" w:rsidR="007C0A09" w:rsidRPr="00015C71" w:rsidRDefault="00F04EEE" w:rsidP="00F04EEE">
                            <w:pPr>
                              <w:rPr>
                                <w:b/>
                              </w:rPr>
                            </w:pPr>
                            <w:r>
                              <w:t>Proposals</w:t>
                            </w:r>
                            <w:r w:rsidR="005C5379">
                              <w:t xml:space="preserve"> </w:t>
                            </w:r>
                            <w:r>
                              <w:t>presented</w:t>
                            </w:r>
                            <w:r w:rsidR="00015C71">
                              <w:t xml:space="preserve"> </w:t>
                            </w:r>
                            <w:r w:rsidR="005C5379">
                              <w:t>and</w:t>
                            </w:r>
                            <w:bookmarkStart w:id="0" w:name="_GoBack"/>
                            <w:bookmarkEnd w:id="0"/>
                            <w:r w:rsidR="005C5379">
                              <w:t xml:space="preserve"> </w:t>
                            </w:r>
                            <w:r w:rsidR="00015C71">
                              <w:t>prioritized</w:t>
                            </w:r>
                            <w:r>
                              <w:t xml:space="preserve"> at Chairs Council meeting on </w:t>
                            </w:r>
                            <w:r w:rsidR="005C5379">
                              <w:rPr>
                                <w:b/>
                              </w:rPr>
                              <w:t>August 30</w:t>
                            </w:r>
                            <w:r w:rsidRPr="007C0A09">
                              <w:rPr>
                                <w:b/>
                              </w:rPr>
                              <w:t>, 2018</w:t>
                            </w:r>
                          </w:p>
                          <w:p w14:paraId="66802E13" w14:textId="708361E3" w:rsidR="004A1B95" w:rsidRDefault="007C0A09" w:rsidP="00F04EEE">
                            <w:r>
                              <w:t>Prioritized list</w:t>
                            </w:r>
                            <w:r w:rsidR="005C5379">
                              <w:t xml:space="preserve"> and supporting documentation</w:t>
                            </w:r>
                            <w:r>
                              <w:t xml:space="preserve"> due from Dean to Provost and HR/APS by</w:t>
                            </w:r>
                            <w:r w:rsidR="005C5379">
                              <w:t xml:space="preserve"> </w:t>
                            </w:r>
                            <w:r w:rsidR="005C5379" w:rsidRPr="005C5379">
                              <w:rPr>
                                <w:b/>
                              </w:rPr>
                              <w:t>September 4</w:t>
                            </w:r>
                            <w:r w:rsidRPr="005C5379">
                              <w:rPr>
                                <w:b/>
                              </w:rPr>
                              <w:t>, 2018</w:t>
                            </w:r>
                          </w:p>
                          <w:p w14:paraId="2CBADD90" w14:textId="77777777" w:rsidR="00F04EEE" w:rsidRPr="00F04EEE" w:rsidRDefault="00F04EEE" w:rsidP="00F04EEE"/>
                          <w:p w14:paraId="6A9D6D3E" w14:textId="77777777" w:rsidR="00F04EEE" w:rsidRDefault="00F04EEE" w:rsidP="00F04EEE">
                            <w:pPr>
                              <w:jc w:val="center"/>
                            </w:pPr>
                          </w:p>
                          <w:p w14:paraId="005A4A63" w14:textId="77777777" w:rsidR="00F04EEE" w:rsidRDefault="00F04EEE" w:rsidP="00F04EEE">
                            <w:pPr>
                              <w:jc w:val="center"/>
                            </w:pPr>
                          </w:p>
                          <w:p w14:paraId="1B967544" w14:textId="77777777" w:rsidR="006E0347" w:rsidRDefault="006E0347" w:rsidP="006E0347"/>
                          <w:p w14:paraId="761D8578" w14:textId="77777777" w:rsidR="006E0347" w:rsidRDefault="006E0347" w:rsidP="006E0347"/>
                          <w:p w14:paraId="65964FA4" w14:textId="77777777" w:rsidR="006E0347" w:rsidRDefault="006E0347" w:rsidP="006E0347"/>
                          <w:p w14:paraId="527A3AF1" w14:textId="77777777" w:rsidR="006E0347" w:rsidRDefault="006E0347" w:rsidP="006E0347"/>
                          <w:p w14:paraId="36340CC3" w14:textId="77777777" w:rsidR="006E0347" w:rsidRDefault="006E0347" w:rsidP="006E0347"/>
                          <w:p w14:paraId="05DA6D2F" w14:textId="77777777" w:rsidR="006E0347" w:rsidRDefault="006E0347" w:rsidP="006E0347"/>
                          <w:p w14:paraId="279B5D79" w14:textId="77777777" w:rsidR="006E0347" w:rsidRDefault="006E0347" w:rsidP="006E0347"/>
                          <w:p w14:paraId="0E5DA3AE" w14:textId="77777777" w:rsidR="006E0347" w:rsidRDefault="006E0347" w:rsidP="006E0347"/>
                          <w:p w14:paraId="395D10F2" w14:textId="77777777" w:rsidR="006E0347" w:rsidRDefault="006E0347" w:rsidP="006E0347"/>
                          <w:p w14:paraId="425FD95F" w14:textId="77777777" w:rsidR="006E0347" w:rsidRPr="006E0347" w:rsidRDefault="006E0347" w:rsidP="006E0347"/>
                          <w:p w14:paraId="7222F9F6" w14:textId="77777777" w:rsidR="00FF2A6C" w:rsidRDefault="00FF2A6C" w:rsidP="00FF2A6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2DC3426" w14:textId="77777777" w:rsidR="00FF2A6C" w:rsidRDefault="00FF2A6C" w:rsidP="00FF2A6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A65985" w14:textId="77777777" w:rsidR="00F818F5" w:rsidRDefault="00F818F5" w:rsidP="000536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42271" w14:textId="77777777" w:rsidR="00F818F5" w:rsidRDefault="00F818F5" w:rsidP="00F81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0615D0" w14:textId="77777777" w:rsidR="00FF2A6C" w:rsidRDefault="00FF2A6C" w:rsidP="00FF2A6C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7FB16A" w14:textId="77777777" w:rsidR="00FF2A6C" w:rsidRDefault="00FF2A6C" w:rsidP="00FF2A6C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3C629DE" w14:textId="77777777" w:rsidR="00FF2A6C" w:rsidRDefault="00FF2A6C" w:rsidP="00FF2A6C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641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.3pt;margin-top:12.95pt;width:547.3pt;height:58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" filled="f" stroked="f">
                <v:textbox inset="0,0,0,0">
                  <w:txbxContent>
                    <w:p w14:paraId="1DD1EB72" w14:textId="77777777" w:rsidR="006E0347" w:rsidRDefault="006E0347" w:rsidP="006E0347"/>
                    <w:p w14:paraId="19423275" w14:textId="6AB0E1A0" w:rsidR="006E0347" w:rsidRPr="00F04EEE" w:rsidRDefault="007C0A09" w:rsidP="00F04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Tenure-line</w:t>
                      </w:r>
                      <w:r w:rsidR="00F04EEE" w:rsidRPr="00F04EEE">
                        <w:rPr>
                          <w:b/>
                        </w:rPr>
                        <w:t xml:space="preserve"> Faculty Position Request Process</w:t>
                      </w:r>
                    </w:p>
                    <w:p w14:paraId="420C658F" w14:textId="08B96016" w:rsidR="00F04EEE" w:rsidRDefault="00C859D7" w:rsidP="00F04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For Searches in AY 2018-19</w:t>
                      </w:r>
                    </w:p>
                    <w:p w14:paraId="31FA48B5" w14:textId="77777777" w:rsidR="00F04EEE" w:rsidRDefault="00F04EEE" w:rsidP="00F04EEE"/>
                    <w:p w14:paraId="48E9ED60" w14:textId="51444F1F" w:rsidR="007C0A09" w:rsidRPr="007C0A09" w:rsidRDefault="007C0A09" w:rsidP="00F04E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Proposal Format</w:t>
                      </w:r>
                    </w:p>
                    <w:p w14:paraId="14A3CCC5" w14:textId="77777777" w:rsidR="007C0A09" w:rsidRDefault="007C0A09" w:rsidP="00F04EEE">
                      <w:pPr>
                        <w:rPr>
                          <w:u w:val="single"/>
                        </w:rPr>
                      </w:pPr>
                    </w:p>
                    <w:p w14:paraId="449C2A88" w14:textId="21AB90B2" w:rsidR="007C0A09" w:rsidRDefault="007C0A09" w:rsidP="00F04EEE">
                      <w:r>
                        <w:t>Tenure-line faculty position requests (for searches</w:t>
                      </w:r>
                      <w:r w:rsidR="001A6591">
                        <w:t xml:space="preserve"> in 2018-19 and start dates in F</w:t>
                      </w:r>
                      <w:r>
                        <w:t>all, 2019) should include the following information:</w:t>
                      </w:r>
                    </w:p>
                    <w:p w14:paraId="52EF8D45" w14:textId="77777777" w:rsidR="007C0A09" w:rsidRDefault="007C0A09" w:rsidP="00F04EEE"/>
                    <w:p w14:paraId="10B6D1C6" w14:textId="692AF680" w:rsidR="007C0A09" w:rsidRDefault="00393408" w:rsidP="003934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Brief d</w:t>
                      </w:r>
                      <w:r w:rsidR="007C0A09">
                        <w:t>escription of position</w:t>
                      </w:r>
                      <w:r>
                        <w:t xml:space="preserve"> (1-2 paragraphs)</w:t>
                      </w:r>
                    </w:p>
                    <w:p w14:paraId="68F78C34" w14:textId="26D28867" w:rsidR="00393408" w:rsidRDefault="00393408" w:rsidP="0039340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Substantive area(s)</w:t>
                      </w:r>
                    </w:p>
                    <w:p w14:paraId="1970902F" w14:textId="0E582734" w:rsidR="00393408" w:rsidRDefault="00393408" w:rsidP="0039340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Anticipated start-up costs</w:t>
                      </w:r>
                    </w:p>
                    <w:p w14:paraId="4DAA184C" w14:textId="7B64AF11" w:rsidR="00393408" w:rsidRDefault="00393408" w:rsidP="0039340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Program(s)/major(s) served by position</w:t>
                      </w:r>
                    </w:p>
                    <w:p w14:paraId="303F7FD1" w14:textId="1804AFCE" w:rsidR="00393408" w:rsidRDefault="00393408" w:rsidP="003934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Justification based on</w:t>
                      </w:r>
                      <w:r w:rsidR="001A6591">
                        <w:t xml:space="preserve"> Provost’s</w:t>
                      </w:r>
                      <w:r w:rsidR="007E2B83">
                        <w:t xml:space="preserve"> prioritization</w:t>
                      </w:r>
                      <w:r>
                        <w:t xml:space="preserve"> criteria</w:t>
                      </w:r>
                      <w:r w:rsidR="001A6591">
                        <w:t xml:space="preserve"> (below)</w:t>
                      </w:r>
                      <w:r w:rsidR="005C5379">
                        <w:t xml:space="preserve"> 2 </w:t>
                      </w:r>
                      <w:r>
                        <w:t>page maximum)</w:t>
                      </w:r>
                    </w:p>
                    <w:p w14:paraId="5ED1C5DF" w14:textId="09986DE1" w:rsidR="00393408" w:rsidRDefault="00393408" w:rsidP="003934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Proposed course load for 4 years with statement of impact on instructional costs in program/department (1paragraph)</w:t>
                      </w:r>
                    </w:p>
                    <w:p w14:paraId="08E6D238" w14:textId="77777777" w:rsidR="007C0A09" w:rsidRDefault="007C0A09" w:rsidP="00F04EEE">
                      <w:pPr>
                        <w:rPr>
                          <w:u w:val="single"/>
                        </w:rPr>
                      </w:pPr>
                    </w:p>
                    <w:p w14:paraId="281D6029" w14:textId="4EE4981D" w:rsidR="007C0A09" w:rsidRDefault="00240F2F" w:rsidP="00F04EE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Provost’s </w:t>
                      </w:r>
                      <w:r w:rsidR="007C0A09">
                        <w:rPr>
                          <w:u w:val="single"/>
                        </w:rPr>
                        <w:t>Criteria for Prioritization</w:t>
                      </w:r>
                      <w:r>
                        <w:rPr>
                          <w:u w:val="single"/>
                        </w:rPr>
                        <w:t xml:space="preserve"> (from Memo to Deans 8/14/18)</w:t>
                      </w:r>
                    </w:p>
                    <w:p w14:paraId="205A367D" w14:textId="3105BD7D" w:rsidR="001A6591" w:rsidRPr="001A6591" w:rsidRDefault="001A6591" w:rsidP="001A659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</w:rPr>
                      </w:pPr>
                      <w:r w:rsidRPr="001A6591">
                        <w:rPr>
                          <w:rFonts w:ascii="Times" w:hAnsi="Times" w:cs="Calibri"/>
                        </w:rPr>
                        <w:t>Positions authorized will positively impact</w:t>
                      </w:r>
                      <w:r w:rsidR="000140AB">
                        <w:rPr>
                          <w:rFonts w:ascii="Times" w:hAnsi="Times" w:cs="Calibri"/>
                        </w:rPr>
                        <w:t xml:space="preserve"> diversity, equity, and</w:t>
                      </w:r>
                      <w:r w:rsidRPr="001A6591">
                        <w:rPr>
                          <w:rFonts w:ascii="Times" w:hAnsi="Times" w:cs="Calibri"/>
                        </w:rPr>
                        <w:t xml:space="preserve"> student success goals of increased retention, timely graduation, and reduction of opportunity and access gaps outlined in GI2025.</w:t>
                      </w:r>
                    </w:p>
                    <w:p w14:paraId="66EE02B8" w14:textId="0B50CCA0" w:rsidR="001A6591" w:rsidRPr="001A6591" w:rsidRDefault="001A6591" w:rsidP="001A659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 w:cs="Calibri"/>
                        </w:rPr>
                        <w:t xml:space="preserve">Positions authorized will </w:t>
                      </w:r>
                      <w:r w:rsidR="00015C71">
                        <w:rPr>
                          <w:rFonts w:ascii="Times" w:hAnsi="Times" w:cs="Calibri"/>
                        </w:rPr>
                        <w:t>invest</w:t>
                      </w:r>
                      <w:r>
                        <w:rPr>
                          <w:rFonts w:ascii="Times" w:hAnsi="Times" w:cs="Calibri"/>
                        </w:rPr>
                        <w:t xml:space="preserve"> in programs/units that demonstrate a commitment to programmatic/curricular assessment and closing the loop on assessment data and continuous improvement. These programs</w:t>
                      </w:r>
                      <w:r w:rsidRPr="001A6591">
                        <w:rPr>
                          <w:rFonts w:ascii="Times" w:hAnsi="Times" w:cs="Calibri"/>
                        </w:rPr>
                        <w:t xml:space="preserve"> </w:t>
                      </w:r>
                      <w:r>
                        <w:rPr>
                          <w:rFonts w:ascii="Times" w:hAnsi="Times" w:cs="Calibri"/>
                        </w:rPr>
                        <w:t xml:space="preserve">have capacity for excellence and additional growth. </w:t>
                      </w:r>
                      <w:r w:rsidRPr="001A6591">
                        <w:rPr>
                          <w:rFonts w:ascii="Times" w:hAnsi="Times" w:cs="Calibri"/>
                        </w:rPr>
                        <w:t xml:space="preserve"> These are programs that are well positioned to</w:t>
                      </w:r>
                      <w:r>
                        <w:rPr>
                          <w:rFonts w:ascii="Times" w:hAnsi="Times" w:cs="Calibri"/>
                        </w:rPr>
                        <w:t>, with additional faculty resource</w:t>
                      </w:r>
                      <w:r w:rsidRPr="001A6591">
                        <w:rPr>
                          <w:rFonts w:ascii="Times" w:hAnsi="Times" w:cs="Calibri"/>
                        </w:rPr>
                        <w:t xml:space="preserve"> (i) establish a clear record of student success, (ii) can show evidence of student learning, (iii) demonstrate prudent management of department/unit resources/economy (including workload and course offerings), (iv) can show evidence that the undergraduate (UG) graduation rate has improved over the past 2 academic years, (v) can show evidence that UG retention rates from Year 1 to Year 2 are reaching 80%, and (vi) eliminate equity gaps in courses/programs. </w:t>
                      </w:r>
                    </w:p>
                    <w:p w14:paraId="00E33964" w14:textId="017FB886" w:rsidR="007C0A09" w:rsidRPr="001A6591" w:rsidRDefault="001A6591" w:rsidP="00F04EEE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 w:cs="Calibri"/>
                        </w:rPr>
                        <w:t xml:space="preserve">Positions authorized will help achieve student success goals (GI 2025), support class coverage and enrollment pressure demands (particularly in units/programs experiencing diminished instructional faculty FTE). </w:t>
                      </w:r>
                    </w:p>
                    <w:p w14:paraId="69C40485" w14:textId="70F6D8D9" w:rsidR="00F04EEE" w:rsidRDefault="007C0A09" w:rsidP="00F04EEE">
                      <w:r>
                        <w:rPr>
                          <w:u w:val="single"/>
                        </w:rPr>
                        <w:t xml:space="preserve">Process Steps and </w:t>
                      </w:r>
                      <w:r w:rsidR="00F04EEE" w:rsidRPr="00F04EEE">
                        <w:rPr>
                          <w:u w:val="single"/>
                        </w:rPr>
                        <w:t>Timeframe</w:t>
                      </w:r>
                      <w:r w:rsidR="00F04EEE">
                        <w:t>:</w:t>
                      </w:r>
                    </w:p>
                    <w:p w14:paraId="1FEE4812" w14:textId="77777777" w:rsidR="00F04EEE" w:rsidRDefault="00F04EEE" w:rsidP="00F04EEE"/>
                    <w:p w14:paraId="71DF14E5" w14:textId="2C9F08DA" w:rsidR="00F04EEE" w:rsidRDefault="00F04EEE" w:rsidP="00F04EEE">
                      <w:r>
                        <w:t>Proposals</w:t>
                      </w:r>
                      <w:r w:rsidR="005C5379">
                        <w:t xml:space="preserve"> and Form 200</w:t>
                      </w:r>
                      <w:r>
                        <w:t xml:space="preserve"> due</w:t>
                      </w:r>
                      <w:r w:rsidR="007C0A09">
                        <w:t xml:space="preserve"> (electronic)</w:t>
                      </w:r>
                      <w:r>
                        <w:t xml:space="preserve"> to Shannon Collart from Chairs by (COB) </w:t>
                      </w:r>
                      <w:r w:rsidR="005C5379">
                        <w:rPr>
                          <w:b/>
                        </w:rPr>
                        <w:t>August 27</w:t>
                      </w:r>
                      <w:r w:rsidRPr="00015C71">
                        <w:rPr>
                          <w:b/>
                        </w:rPr>
                        <w:t>, 2018</w:t>
                      </w:r>
                    </w:p>
                    <w:p w14:paraId="30B125B3" w14:textId="17AE1995" w:rsidR="00F04EEE" w:rsidRDefault="00F04EEE" w:rsidP="00F04EEE">
                      <w:r>
                        <w:t xml:space="preserve">Proposals available for view on shared drive by (COB) </w:t>
                      </w:r>
                      <w:r w:rsidR="005C5379">
                        <w:rPr>
                          <w:b/>
                        </w:rPr>
                        <w:t>August 28</w:t>
                      </w:r>
                      <w:r w:rsidRPr="007C0A09">
                        <w:rPr>
                          <w:b/>
                        </w:rPr>
                        <w:t>, 2018</w:t>
                      </w:r>
                    </w:p>
                    <w:p w14:paraId="22F1DD6E" w14:textId="14B20DFE" w:rsidR="007C0A09" w:rsidRPr="00015C71" w:rsidRDefault="00F04EEE" w:rsidP="00F04EEE">
                      <w:pPr>
                        <w:rPr>
                          <w:b/>
                        </w:rPr>
                      </w:pPr>
                      <w:r>
                        <w:t>Proposals</w:t>
                      </w:r>
                      <w:r w:rsidR="005C5379">
                        <w:t xml:space="preserve"> </w:t>
                      </w:r>
                      <w:r>
                        <w:t>presented</w:t>
                      </w:r>
                      <w:r w:rsidR="00015C71">
                        <w:t xml:space="preserve"> </w:t>
                      </w:r>
                      <w:r w:rsidR="005C5379">
                        <w:t>and</w:t>
                      </w:r>
                      <w:bookmarkStart w:id="1" w:name="_GoBack"/>
                      <w:bookmarkEnd w:id="1"/>
                      <w:r w:rsidR="005C5379">
                        <w:t xml:space="preserve"> </w:t>
                      </w:r>
                      <w:r w:rsidR="00015C71">
                        <w:t>prioritized</w:t>
                      </w:r>
                      <w:r>
                        <w:t xml:space="preserve"> at Chairs Council meeting on </w:t>
                      </w:r>
                      <w:r w:rsidR="005C5379">
                        <w:rPr>
                          <w:b/>
                        </w:rPr>
                        <w:t>August 30</w:t>
                      </w:r>
                      <w:r w:rsidRPr="007C0A09">
                        <w:rPr>
                          <w:b/>
                        </w:rPr>
                        <w:t>, 2018</w:t>
                      </w:r>
                    </w:p>
                    <w:p w14:paraId="66802E13" w14:textId="708361E3" w:rsidR="004A1B95" w:rsidRDefault="007C0A09" w:rsidP="00F04EEE">
                      <w:r>
                        <w:t>Prioritized list</w:t>
                      </w:r>
                      <w:r w:rsidR="005C5379">
                        <w:t xml:space="preserve"> and supporting documentation</w:t>
                      </w:r>
                      <w:r>
                        <w:t xml:space="preserve"> due from Dean to Provost and HR/APS by</w:t>
                      </w:r>
                      <w:r w:rsidR="005C5379">
                        <w:t xml:space="preserve"> </w:t>
                      </w:r>
                      <w:r w:rsidR="005C5379" w:rsidRPr="005C5379">
                        <w:rPr>
                          <w:b/>
                        </w:rPr>
                        <w:t>September 4</w:t>
                      </w:r>
                      <w:r w:rsidRPr="005C5379">
                        <w:rPr>
                          <w:b/>
                        </w:rPr>
                        <w:t>, 2018</w:t>
                      </w:r>
                    </w:p>
                    <w:p w14:paraId="2CBADD90" w14:textId="77777777" w:rsidR="00F04EEE" w:rsidRPr="00F04EEE" w:rsidRDefault="00F04EEE" w:rsidP="00F04EEE"/>
                    <w:p w14:paraId="6A9D6D3E" w14:textId="77777777" w:rsidR="00F04EEE" w:rsidRDefault="00F04EEE" w:rsidP="00F04EEE">
                      <w:pPr>
                        <w:jc w:val="center"/>
                      </w:pPr>
                    </w:p>
                    <w:p w14:paraId="005A4A63" w14:textId="77777777" w:rsidR="00F04EEE" w:rsidRDefault="00F04EEE" w:rsidP="00F04EEE">
                      <w:pPr>
                        <w:jc w:val="center"/>
                      </w:pPr>
                    </w:p>
                    <w:p w14:paraId="1B967544" w14:textId="77777777" w:rsidR="006E0347" w:rsidRDefault="006E0347" w:rsidP="006E0347"/>
                    <w:p w14:paraId="761D8578" w14:textId="77777777" w:rsidR="006E0347" w:rsidRDefault="006E0347" w:rsidP="006E0347"/>
                    <w:p w14:paraId="65964FA4" w14:textId="77777777" w:rsidR="006E0347" w:rsidRDefault="006E0347" w:rsidP="006E0347"/>
                    <w:p w14:paraId="527A3AF1" w14:textId="77777777" w:rsidR="006E0347" w:rsidRDefault="006E0347" w:rsidP="006E0347"/>
                    <w:p w14:paraId="36340CC3" w14:textId="77777777" w:rsidR="006E0347" w:rsidRDefault="006E0347" w:rsidP="006E0347"/>
                    <w:p w14:paraId="05DA6D2F" w14:textId="77777777" w:rsidR="006E0347" w:rsidRDefault="006E0347" w:rsidP="006E0347"/>
                    <w:p w14:paraId="279B5D79" w14:textId="77777777" w:rsidR="006E0347" w:rsidRDefault="006E0347" w:rsidP="006E0347"/>
                    <w:p w14:paraId="0E5DA3AE" w14:textId="77777777" w:rsidR="006E0347" w:rsidRDefault="006E0347" w:rsidP="006E0347"/>
                    <w:p w14:paraId="395D10F2" w14:textId="77777777" w:rsidR="006E0347" w:rsidRDefault="006E0347" w:rsidP="006E0347"/>
                    <w:p w14:paraId="425FD95F" w14:textId="77777777" w:rsidR="006E0347" w:rsidRPr="006E0347" w:rsidRDefault="006E0347" w:rsidP="006E0347"/>
                    <w:p w14:paraId="7222F9F6" w14:textId="77777777" w:rsidR="00FF2A6C" w:rsidRDefault="00FF2A6C" w:rsidP="00FF2A6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42DC3426" w14:textId="77777777" w:rsidR="00FF2A6C" w:rsidRDefault="00FF2A6C" w:rsidP="00FF2A6C">
                      <w:pPr>
                        <w:rPr>
                          <w:u w:val="single"/>
                        </w:rPr>
                      </w:pPr>
                    </w:p>
                    <w:p w14:paraId="75A65985" w14:textId="77777777" w:rsidR="00F818F5" w:rsidRDefault="00F818F5" w:rsidP="000536F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8842271" w14:textId="77777777" w:rsidR="00F818F5" w:rsidRDefault="00F818F5" w:rsidP="00F818F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0615D0" w14:textId="77777777" w:rsidR="00FF2A6C" w:rsidRDefault="00FF2A6C" w:rsidP="00FF2A6C">
                      <w:pPr>
                        <w:rPr>
                          <w:szCs w:val="24"/>
                        </w:rPr>
                      </w:pPr>
                    </w:p>
                    <w:p w14:paraId="6E7FB16A" w14:textId="77777777" w:rsidR="00FF2A6C" w:rsidRDefault="00FF2A6C" w:rsidP="00FF2A6C">
                      <w:pPr>
                        <w:rPr>
                          <w:szCs w:val="24"/>
                        </w:rPr>
                      </w:pPr>
                    </w:p>
                    <w:p w14:paraId="33C629DE" w14:textId="77777777" w:rsidR="00FF2A6C" w:rsidRDefault="00FF2A6C" w:rsidP="00FF2A6C">
                      <w:pPr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902D2" w14:textId="4602CFEC" w:rsidR="00366713" w:rsidRDefault="00366713"/>
    <w:p w14:paraId="678E3290" w14:textId="77777777" w:rsidR="00366713" w:rsidRDefault="00366713"/>
    <w:p w14:paraId="5536BD51" w14:textId="77777777" w:rsidR="00366713" w:rsidRDefault="00366713"/>
    <w:p w14:paraId="3009A1B2" w14:textId="77777777" w:rsidR="00366713" w:rsidRDefault="00366713"/>
    <w:p w14:paraId="7C8CF843" w14:textId="77777777" w:rsidR="00366713" w:rsidRDefault="00366713"/>
    <w:p w14:paraId="471D10EF" w14:textId="77777777" w:rsidR="00366713" w:rsidRDefault="00366713"/>
    <w:p w14:paraId="411F7E8F" w14:textId="77777777" w:rsidR="00366713" w:rsidRDefault="00366713"/>
    <w:p w14:paraId="704716B4" w14:textId="77777777" w:rsidR="00366713" w:rsidRDefault="00366713"/>
    <w:p w14:paraId="723EE0AA" w14:textId="77777777" w:rsidR="00366713" w:rsidRDefault="00366713"/>
    <w:p w14:paraId="713DBB89" w14:textId="139FD0AF" w:rsidR="00366713" w:rsidRDefault="00366713"/>
    <w:p w14:paraId="6850789E" w14:textId="77777777" w:rsidR="00366713" w:rsidRDefault="00366713"/>
    <w:p w14:paraId="72303D5B" w14:textId="77777777" w:rsidR="00366713" w:rsidRDefault="00366713"/>
    <w:p w14:paraId="3FAEC4D8" w14:textId="77777777" w:rsidR="00366713" w:rsidRDefault="00366713"/>
    <w:p w14:paraId="2EC264D1" w14:textId="77777777" w:rsidR="00366713" w:rsidRDefault="00366713"/>
    <w:p w14:paraId="72A2714D" w14:textId="77777777" w:rsidR="00366713" w:rsidRDefault="00366713"/>
    <w:p w14:paraId="5CE18CD5" w14:textId="77777777" w:rsidR="00366713" w:rsidRDefault="00366713"/>
    <w:p w14:paraId="53E4BCF1" w14:textId="77777777" w:rsidR="00366713" w:rsidRDefault="00366713"/>
    <w:p w14:paraId="0931432B" w14:textId="77777777" w:rsidR="00366713" w:rsidRDefault="00366713"/>
    <w:p w14:paraId="41EA8563" w14:textId="77777777" w:rsidR="00366713" w:rsidRDefault="00366713"/>
    <w:p w14:paraId="5D0C0CB7" w14:textId="77777777" w:rsidR="00366713" w:rsidRDefault="00366713"/>
    <w:p w14:paraId="3250BBF2" w14:textId="77777777" w:rsidR="00366713" w:rsidRDefault="00366713"/>
    <w:p w14:paraId="5E47093B" w14:textId="77777777" w:rsidR="00366713" w:rsidRDefault="00366713"/>
    <w:p w14:paraId="6639FFDD" w14:textId="77777777" w:rsidR="00366713" w:rsidRDefault="00366713"/>
    <w:p w14:paraId="5A199C8C" w14:textId="77777777" w:rsidR="00366713" w:rsidRDefault="00366713"/>
    <w:p w14:paraId="239789D7" w14:textId="77777777" w:rsidR="00366713" w:rsidRDefault="00366713"/>
    <w:p w14:paraId="078FD4ED" w14:textId="77777777" w:rsidR="00366713" w:rsidRDefault="00366713"/>
    <w:p w14:paraId="33E83714" w14:textId="77777777" w:rsidR="00366713" w:rsidRDefault="00366713"/>
    <w:p w14:paraId="6E95CFD5" w14:textId="77777777" w:rsidR="00366713" w:rsidRDefault="00366713"/>
    <w:p w14:paraId="045308DB" w14:textId="77777777" w:rsidR="00366713" w:rsidRDefault="00366713"/>
    <w:p w14:paraId="00877162" w14:textId="77777777" w:rsidR="00366713" w:rsidRDefault="00366713"/>
    <w:p w14:paraId="67157C70" w14:textId="77777777" w:rsidR="00366713" w:rsidRDefault="00366713"/>
    <w:p w14:paraId="3E53CB9A" w14:textId="77777777" w:rsidR="00366713" w:rsidRDefault="00366713"/>
    <w:p w14:paraId="2FB69C00" w14:textId="77777777" w:rsidR="00366713" w:rsidRDefault="00366713"/>
    <w:p w14:paraId="0B8B89AA" w14:textId="77777777" w:rsidR="00366713" w:rsidRDefault="00366713"/>
    <w:p w14:paraId="032CF430" w14:textId="77777777" w:rsidR="00366713" w:rsidRDefault="00366713"/>
    <w:p w14:paraId="6EA0761B" w14:textId="77777777" w:rsidR="00366713" w:rsidRDefault="00366713"/>
    <w:p w14:paraId="1CDFCB25" w14:textId="77777777" w:rsidR="00366713" w:rsidRDefault="00366713"/>
    <w:p w14:paraId="5081130C" w14:textId="77777777" w:rsidR="00366713" w:rsidRDefault="00366713"/>
    <w:p w14:paraId="02C48D94" w14:textId="77777777" w:rsidR="000536F2" w:rsidRDefault="000536F2" w:rsidP="000536F2">
      <w:pPr>
        <w:pStyle w:val="Header"/>
        <w:tabs>
          <w:tab w:val="clear" w:pos="4320"/>
          <w:tab w:val="clear" w:pos="8640"/>
          <w:tab w:val="left" w:pos="540"/>
        </w:tabs>
      </w:pPr>
    </w:p>
    <w:p w14:paraId="49780E8D" w14:textId="77777777" w:rsidR="000536F2" w:rsidRDefault="000536F2" w:rsidP="000536F2">
      <w:pPr>
        <w:pStyle w:val="Header"/>
        <w:tabs>
          <w:tab w:val="clear" w:pos="4320"/>
          <w:tab w:val="clear" w:pos="8640"/>
          <w:tab w:val="left" w:pos="540"/>
        </w:tabs>
      </w:pPr>
    </w:p>
    <w:p w14:paraId="1DD32260" w14:textId="77777777" w:rsidR="000536F2" w:rsidRDefault="000536F2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47DA7D9D" w14:textId="656E6282" w:rsidR="00375C90" w:rsidRDefault="00DE7E0D" w:rsidP="00FB7B91">
      <w:pPr>
        <w:pStyle w:val="Header"/>
        <w:tabs>
          <w:tab w:val="clear" w:pos="4320"/>
          <w:tab w:val="clear" w:pos="8640"/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6ED00" wp14:editId="2AD5C189">
                <wp:simplePos x="0" y="0"/>
                <wp:positionH relativeFrom="column">
                  <wp:posOffset>1175385</wp:posOffset>
                </wp:positionH>
                <wp:positionV relativeFrom="paragraph">
                  <wp:posOffset>202565</wp:posOffset>
                </wp:positionV>
                <wp:extent cx="5486400" cy="140335"/>
                <wp:effectExtent l="0" t="0" r="571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1FD2B" w14:textId="4B45F621" w:rsidR="00EB6805" w:rsidRDefault="00EB6805">
                            <w:pPr>
                              <w:ind w:right="72"/>
                              <w:jc w:val="both"/>
                              <w:rPr>
                                <w:rFonts w:ascii="Arial Black" w:hAnsi="Arial Black"/>
                                <w:spacing w:val="-2"/>
                                <w:sz w:val="1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E8E8E"/>
                                <w:spacing w:val="-2"/>
                                <w:sz w:val="13"/>
                              </w:rPr>
                              <w:t>One Harpst Street  •  Arcata, Califor</w:t>
                            </w:r>
                            <w:r w:rsidR="00F1080B">
                              <w:rPr>
                                <w:rFonts w:ascii="Arial Black" w:hAnsi="Arial Black"/>
                                <w:color w:val="8E8E8E"/>
                                <w:spacing w:val="-2"/>
                                <w:sz w:val="13"/>
                              </w:rPr>
                              <w:t>nia  95521-8299  •  707.826.4491  •  fax 707.826.4498  •  cahss</w:t>
                            </w:r>
                            <w:r>
                              <w:rPr>
                                <w:rFonts w:ascii="Arial Black" w:hAnsi="Arial Black"/>
                                <w:color w:val="8E8E8E"/>
                                <w:spacing w:val="-2"/>
                                <w:sz w:val="13"/>
                              </w:rPr>
                              <w:t xml:space="preserve">dean@humboldt.edu </w:t>
                            </w:r>
                            <w:r>
                              <w:rPr>
                                <w:rFonts w:ascii="Arial Black" w:hAnsi="Arial Black"/>
                                <w:color w:val="8E8E8E"/>
                                <w:spacing w:val="-2"/>
                                <w:sz w:val="13"/>
                              </w:rPr>
                              <w:br/>
                            </w:r>
                          </w:p>
                          <w:p w14:paraId="765A543A" w14:textId="77777777" w:rsidR="00EB6805" w:rsidRDefault="00EB68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6ED00" id="Text Box 6" o:spid="_x0000_s1028" type="#_x0000_t202" style="position:absolute;margin-left:92.55pt;margin-top:15.95pt;width:6in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" filled="f" stroked="f">
                <v:textbox inset="0,0,0,0">
                  <w:txbxContent>
                    <w:p w14:paraId="5B01FD2B" w14:textId="4B45F621" w:rsidR="00EB6805" w:rsidRDefault="00EB6805">
                      <w:pPr>
                        <w:ind w:right="72"/>
                        <w:jc w:val="both"/>
                        <w:rPr>
                          <w:rFonts w:ascii="Arial Black" w:hAnsi="Arial Black"/>
                          <w:spacing w:val="-2"/>
                          <w:sz w:val="13"/>
                        </w:rPr>
                      </w:pPr>
                      <w:r>
                        <w:rPr>
                          <w:rFonts w:ascii="Arial Black" w:hAnsi="Arial Black"/>
                          <w:color w:val="8E8E8E"/>
                          <w:spacing w:val="-2"/>
                          <w:sz w:val="13"/>
                        </w:rPr>
                        <w:t>One Harpst Street  •  Arcata, Califor</w:t>
                      </w:r>
                      <w:r w:rsidR="00F1080B">
                        <w:rPr>
                          <w:rFonts w:ascii="Arial Black" w:hAnsi="Arial Black"/>
                          <w:color w:val="8E8E8E"/>
                          <w:spacing w:val="-2"/>
                          <w:sz w:val="13"/>
                        </w:rPr>
                        <w:t>nia  95521-8299  •  707.826.4491  •  fax 707.826.4498  •  cahss</w:t>
                      </w:r>
                      <w:r>
                        <w:rPr>
                          <w:rFonts w:ascii="Arial Black" w:hAnsi="Arial Black"/>
                          <w:color w:val="8E8E8E"/>
                          <w:spacing w:val="-2"/>
                          <w:sz w:val="13"/>
                        </w:rPr>
                        <w:t xml:space="preserve">dean@humboldt.edu </w:t>
                      </w:r>
                      <w:r>
                        <w:rPr>
                          <w:rFonts w:ascii="Arial Black" w:hAnsi="Arial Black"/>
                          <w:color w:val="8E8E8E"/>
                          <w:spacing w:val="-2"/>
                          <w:sz w:val="13"/>
                        </w:rPr>
                        <w:br/>
                      </w:r>
                    </w:p>
                    <w:p w14:paraId="765A543A" w14:textId="77777777" w:rsidR="00EB6805" w:rsidRDefault="00EB68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411C77A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591E6C2F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7F29313E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6A53267C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12F852C5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5B8BFC5F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245DBA2E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3ABC3F3E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62D300C4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53D157D6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21239784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6D787692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4169B427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0F31126A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689C229B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48E873B1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p w14:paraId="18AB2FE9" w14:textId="77777777" w:rsidR="00375C90" w:rsidRDefault="00375C90" w:rsidP="00FB7B91">
      <w:pPr>
        <w:pStyle w:val="Header"/>
        <w:tabs>
          <w:tab w:val="clear" w:pos="4320"/>
          <w:tab w:val="clear" w:pos="8640"/>
          <w:tab w:val="left" w:pos="540"/>
        </w:tabs>
      </w:pPr>
    </w:p>
    <w:sectPr w:rsidR="00375C90" w:rsidSect="00240F2F">
      <w:headerReference w:type="default" r:id="rId7"/>
      <w:footerReference w:type="default" r:id="rId8"/>
      <w:pgSz w:w="12240" w:h="15840" w:code="1"/>
      <w:pgMar w:top="720" w:right="720" w:bottom="720" w:left="720" w:header="806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40AC" w14:textId="77777777" w:rsidR="00B8746C" w:rsidRDefault="00B8746C">
      <w:r>
        <w:separator/>
      </w:r>
    </w:p>
  </w:endnote>
  <w:endnote w:type="continuationSeparator" w:id="0">
    <w:p w14:paraId="30129875" w14:textId="77777777" w:rsidR="00B8746C" w:rsidRDefault="00B8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4163" w14:textId="77777777" w:rsidR="00EB6805" w:rsidRDefault="00EB6805">
    <w:pPr>
      <w:pStyle w:val="Footer"/>
      <w:keepNext/>
      <w:keepLines/>
      <w:ind w:left="1843" w:right="1800"/>
      <w:jc w:val="both"/>
      <w:rPr>
        <w:rFonts w:ascii="Arial" w:hAnsi="Arial"/>
        <w:sz w:val="10"/>
      </w:rPr>
    </w:pPr>
    <w:r>
      <w:rPr>
        <w:rFonts w:ascii="Arial" w:hAnsi="Arial"/>
        <w:b/>
        <w:color w:val="8E8E8E"/>
        <w:sz w:val="10"/>
      </w:rPr>
      <w:t>THE CALIFORNIA STATE UNIVERSITY</w:t>
    </w:r>
    <w:r>
      <w:rPr>
        <w:rFonts w:ascii="Arial" w:hAnsi="Arial"/>
        <w:color w:val="8E8E8E"/>
        <w:sz w:val="10"/>
      </w:rPr>
      <w:t xml:space="preserve">  •  Bakersfield  •  Channel Islands  •  Chico  •  Dominguez Hills  •  Fresno  •  Fullerton  •  Hayward  •  Humboldt  •  Long Beach  •  Los Angeles</w:t>
    </w:r>
    <w:r>
      <w:rPr>
        <w:rFonts w:ascii="Arial" w:hAnsi="Arial"/>
        <w:color w:val="8E8E8E"/>
        <w:sz w:val="10"/>
      </w:rPr>
      <w:br/>
    </w:r>
    <w:r>
      <w:rPr>
        <w:rFonts w:ascii="Arial" w:hAnsi="Arial"/>
        <w:color w:val="8E8E8E"/>
        <w:spacing w:val="-2"/>
        <w:sz w:val="10"/>
      </w:rPr>
      <w:t>Maritime Academy  •  Monterey Bay  •  Northridge  •  Pomona  •  Sacramento  •  San Bernardino  •  San Diego  •  San Francisco  •  San Jose  •  San Luis Obispo  •  San Marcos  •  Sonoma  •  Stanislaus</w:t>
    </w:r>
    <w:r>
      <w:rPr>
        <w:rFonts w:ascii="Arial" w:hAnsi="Arial"/>
        <w:sz w:val="1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095D" w14:textId="77777777" w:rsidR="00B8746C" w:rsidRDefault="00B8746C">
      <w:r>
        <w:separator/>
      </w:r>
    </w:p>
  </w:footnote>
  <w:footnote w:type="continuationSeparator" w:id="0">
    <w:p w14:paraId="6B050D3F" w14:textId="77777777" w:rsidR="00B8746C" w:rsidRDefault="00B8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321" w14:textId="7C1484E5" w:rsidR="00EB6805" w:rsidRDefault="00DE7E0D">
    <w:pPr>
      <w:pStyle w:val="Header"/>
      <w:ind w:left="893"/>
    </w:pPr>
    <w:r w:rsidRPr="00046418">
      <w:rPr>
        <w:noProof/>
      </w:rPr>
      <w:drawing>
        <wp:inline distT="0" distB="0" distL="0" distR="0" wp14:anchorId="1B7A1386" wp14:editId="49988AE0">
          <wp:extent cx="5486400" cy="457200"/>
          <wp:effectExtent l="0" t="0" r="0" b="0"/>
          <wp:docPr id="1" name="Picture 3" descr="Macintosh HD:Users:hd7001:Desktop:HSU_wordMark_2Color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d7001:Desktop:HSU_wordMark_2Color cop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B7C"/>
    <w:multiLevelType w:val="hybridMultilevel"/>
    <w:tmpl w:val="40B8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EB3"/>
    <w:multiLevelType w:val="hybridMultilevel"/>
    <w:tmpl w:val="BD90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32FD"/>
    <w:multiLevelType w:val="hybridMultilevel"/>
    <w:tmpl w:val="CAB03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AC4"/>
    <w:multiLevelType w:val="hybridMultilevel"/>
    <w:tmpl w:val="DF9636DC"/>
    <w:lvl w:ilvl="0" w:tplc="62D054AC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55"/>
    <w:rsid w:val="0000715B"/>
    <w:rsid w:val="000140AB"/>
    <w:rsid w:val="00015C71"/>
    <w:rsid w:val="00023484"/>
    <w:rsid w:val="000536F2"/>
    <w:rsid w:val="000666BA"/>
    <w:rsid w:val="0007669A"/>
    <w:rsid w:val="00087876"/>
    <w:rsid w:val="00092393"/>
    <w:rsid w:val="000A29FA"/>
    <w:rsid w:val="000D1CAE"/>
    <w:rsid w:val="000D2014"/>
    <w:rsid w:val="000E1750"/>
    <w:rsid w:val="000E6417"/>
    <w:rsid w:val="000F5604"/>
    <w:rsid w:val="0012391E"/>
    <w:rsid w:val="00184810"/>
    <w:rsid w:val="00196A06"/>
    <w:rsid w:val="001A6591"/>
    <w:rsid w:val="001A7EA2"/>
    <w:rsid w:val="001B2074"/>
    <w:rsid w:val="001D4C86"/>
    <w:rsid w:val="001E67FF"/>
    <w:rsid w:val="001E6D20"/>
    <w:rsid w:val="001F6879"/>
    <w:rsid w:val="00201EAF"/>
    <w:rsid w:val="00205635"/>
    <w:rsid w:val="00207FCF"/>
    <w:rsid w:val="00224D01"/>
    <w:rsid w:val="00240F2F"/>
    <w:rsid w:val="002438E0"/>
    <w:rsid w:val="002B046D"/>
    <w:rsid w:val="002D1D46"/>
    <w:rsid w:val="002D56A1"/>
    <w:rsid w:val="002D7E52"/>
    <w:rsid w:val="00301712"/>
    <w:rsid w:val="00306160"/>
    <w:rsid w:val="0030697F"/>
    <w:rsid w:val="003142FC"/>
    <w:rsid w:val="00335E30"/>
    <w:rsid w:val="00342BA9"/>
    <w:rsid w:val="003479D9"/>
    <w:rsid w:val="003533E2"/>
    <w:rsid w:val="00355318"/>
    <w:rsid w:val="003624C2"/>
    <w:rsid w:val="00366713"/>
    <w:rsid w:val="00371A6F"/>
    <w:rsid w:val="00375C90"/>
    <w:rsid w:val="0039018B"/>
    <w:rsid w:val="00393408"/>
    <w:rsid w:val="003A1193"/>
    <w:rsid w:val="003A247F"/>
    <w:rsid w:val="003A45FA"/>
    <w:rsid w:val="003A6034"/>
    <w:rsid w:val="003C02EF"/>
    <w:rsid w:val="003C3683"/>
    <w:rsid w:val="003C43C6"/>
    <w:rsid w:val="003D3D58"/>
    <w:rsid w:val="003F283F"/>
    <w:rsid w:val="004224C1"/>
    <w:rsid w:val="004274EC"/>
    <w:rsid w:val="00434464"/>
    <w:rsid w:val="004466ED"/>
    <w:rsid w:val="00465573"/>
    <w:rsid w:val="00477DFD"/>
    <w:rsid w:val="00483ED6"/>
    <w:rsid w:val="00494B00"/>
    <w:rsid w:val="004A1B95"/>
    <w:rsid w:val="004A3965"/>
    <w:rsid w:val="004C105C"/>
    <w:rsid w:val="004C28BB"/>
    <w:rsid w:val="004C53FE"/>
    <w:rsid w:val="004E4CA5"/>
    <w:rsid w:val="00504563"/>
    <w:rsid w:val="00534970"/>
    <w:rsid w:val="00551804"/>
    <w:rsid w:val="005629D5"/>
    <w:rsid w:val="00570EDE"/>
    <w:rsid w:val="00585C5A"/>
    <w:rsid w:val="00586039"/>
    <w:rsid w:val="005A10ED"/>
    <w:rsid w:val="005B489D"/>
    <w:rsid w:val="005C1377"/>
    <w:rsid w:val="005C5379"/>
    <w:rsid w:val="005F71FA"/>
    <w:rsid w:val="00607694"/>
    <w:rsid w:val="00616ACB"/>
    <w:rsid w:val="00625D94"/>
    <w:rsid w:val="006555CE"/>
    <w:rsid w:val="00675657"/>
    <w:rsid w:val="00676CBF"/>
    <w:rsid w:val="006900BB"/>
    <w:rsid w:val="006B3D28"/>
    <w:rsid w:val="006C31E1"/>
    <w:rsid w:val="006C3FAD"/>
    <w:rsid w:val="006C4BEA"/>
    <w:rsid w:val="006C70BA"/>
    <w:rsid w:val="006D7114"/>
    <w:rsid w:val="006E0347"/>
    <w:rsid w:val="006E0850"/>
    <w:rsid w:val="006E171A"/>
    <w:rsid w:val="006E4332"/>
    <w:rsid w:val="006E65BC"/>
    <w:rsid w:val="006E666A"/>
    <w:rsid w:val="00723AAF"/>
    <w:rsid w:val="00771A9B"/>
    <w:rsid w:val="00796F9E"/>
    <w:rsid w:val="007C0A09"/>
    <w:rsid w:val="007C3685"/>
    <w:rsid w:val="007D07C4"/>
    <w:rsid w:val="007D4F55"/>
    <w:rsid w:val="007E2B83"/>
    <w:rsid w:val="007E355C"/>
    <w:rsid w:val="007E3EA5"/>
    <w:rsid w:val="00810F14"/>
    <w:rsid w:val="00832A32"/>
    <w:rsid w:val="00835AA5"/>
    <w:rsid w:val="0085100F"/>
    <w:rsid w:val="008856FC"/>
    <w:rsid w:val="00892E22"/>
    <w:rsid w:val="008B03D0"/>
    <w:rsid w:val="008D689E"/>
    <w:rsid w:val="00904229"/>
    <w:rsid w:val="00920085"/>
    <w:rsid w:val="00920B83"/>
    <w:rsid w:val="00943DFD"/>
    <w:rsid w:val="00964885"/>
    <w:rsid w:val="00971EAF"/>
    <w:rsid w:val="009842C0"/>
    <w:rsid w:val="009D00BD"/>
    <w:rsid w:val="00A256CB"/>
    <w:rsid w:val="00A25FF2"/>
    <w:rsid w:val="00A36475"/>
    <w:rsid w:val="00A65813"/>
    <w:rsid w:val="00A71CF1"/>
    <w:rsid w:val="00A8568A"/>
    <w:rsid w:val="00A917F9"/>
    <w:rsid w:val="00A92EBD"/>
    <w:rsid w:val="00AA5619"/>
    <w:rsid w:val="00AC5429"/>
    <w:rsid w:val="00AC6CF3"/>
    <w:rsid w:val="00AD7086"/>
    <w:rsid w:val="00AE3F5C"/>
    <w:rsid w:val="00B12C3A"/>
    <w:rsid w:val="00B174C6"/>
    <w:rsid w:val="00B17B14"/>
    <w:rsid w:val="00B2605E"/>
    <w:rsid w:val="00B36E26"/>
    <w:rsid w:val="00B42D8B"/>
    <w:rsid w:val="00B4650F"/>
    <w:rsid w:val="00B51A70"/>
    <w:rsid w:val="00B60A72"/>
    <w:rsid w:val="00B8746C"/>
    <w:rsid w:val="00BC7A3E"/>
    <w:rsid w:val="00BE7108"/>
    <w:rsid w:val="00C058CF"/>
    <w:rsid w:val="00C05AA4"/>
    <w:rsid w:val="00C137E1"/>
    <w:rsid w:val="00C22154"/>
    <w:rsid w:val="00C3205F"/>
    <w:rsid w:val="00C6076D"/>
    <w:rsid w:val="00C64ACD"/>
    <w:rsid w:val="00C859D7"/>
    <w:rsid w:val="00C94B6D"/>
    <w:rsid w:val="00D033E8"/>
    <w:rsid w:val="00D25F5B"/>
    <w:rsid w:val="00D37C40"/>
    <w:rsid w:val="00D42FC6"/>
    <w:rsid w:val="00D512D5"/>
    <w:rsid w:val="00D60322"/>
    <w:rsid w:val="00D93615"/>
    <w:rsid w:val="00DA09A1"/>
    <w:rsid w:val="00DB0742"/>
    <w:rsid w:val="00DB267C"/>
    <w:rsid w:val="00DC30DD"/>
    <w:rsid w:val="00DC5EFC"/>
    <w:rsid w:val="00DE092F"/>
    <w:rsid w:val="00DE7E0D"/>
    <w:rsid w:val="00DF0C20"/>
    <w:rsid w:val="00DF2C07"/>
    <w:rsid w:val="00DF36F6"/>
    <w:rsid w:val="00DF5BD5"/>
    <w:rsid w:val="00E30FF6"/>
    <w:rsid w:val="00E429C2"/>
    <w:rsid w:val="00E453A1"/>
    <w:rsid w:val="00E45EA7"/>
    <w:rsid w:val="00E53271"/>
    <w:rsid w:val="00E576B5"/>
    <w:rsid w:val="00E66020"/>
    <w:rsid w:val="00E707BE"/>
    <w:rsid w:val="00E7251A"/>
    <w:rsid w:val="00E85851"/>
    <w:rsid w:val="00E871B7"/>
    <w:rsid w:val="00E902D8"/>
    <w:rsid w:val="00E9367D"/>
    <w:rsid w:val="00EB6805"/>
    <w:rsid w:val="00ED7B74"/>
    <w:rsid w:val="00EF0107"/>
    <w:rsid w:val="00EF3D5D"/>
    <w:rsid w:val="00F022E3"/>
    <w:rsid w:val="00F03E4F"/>
    <w:rsid w:val="00F04EEE"/>
    <w:rsid w:val="00F1080B"/>
    <w:rsid w:val="00F11128"/>
    <w:rsid w:val="00F268A9"/>
    <w:rsid w:val="00F35FA6"/>
    <w:rsid w:val="00F43173"/>
    <w:rsid w:val="00F818F5"/>
    <w:rsid w:val="00F864F8"/>
    <w:rsid w:val="00F9253E"/>
    <w:rsid w:val="00F94D0F"/>
    <w:rsid w:val="00FB7B91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63C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color w:val="8E8E8E"/>
      <w:sz w:val="18"/>
    </w:rPr>
  </w:style>
  <w:style w:type="paragraph" w:styleId="Heading4">
    <w:name w:val="heading 4"/>
    <w:basedOn w:val="Normal"/>
    <w:next w:val="Normal"/>
    <w:qFormat/>
    <w:rsid w:val="00943DF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5A10ED"/>
    <w:rPr>
      <w:rFonts w:ascii="Arial" w:eastAsia="Times New Roman" w:hAnsi="Arial" w:cs="Arial"/>
    </w:rPr>
  </w:style>
  <w:style w:type="paragraph" w:styleId="BalloonText">
    <w:name w:val="Balloon Text"/>
    <w:basedOn w:val="Normal"/>
    <w:semiHidden/>
    <w:rsid w:val="00F03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934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5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SHARIE\IACUC\BI%20ANNUAL%20COMMITTEE%20MEETING\Inspection%20memo%20to%20presi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D:\SHARIE\IACUC\BI ANNUAL COMMITTEE MEETING\Inspection memo to president.dot</Template>
  <TotalTime>31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HSU Letterhead Word Template</vt:lpstr>
    </vt:vector>
  </TitlesOfParts>
  <Company>University Graphic Services</Company>
  <LinksUpToDate>false</LinksUpToDate>
  <CharactersWithSpaces>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HSU Letterhead Word Template</dc:title>
  <dc:subject/>
  <dc:creator>CNRS</dc:creator>
  <cp:keywords/>
  <cp:lastModifiedBy>Microsoft Office User</cp:lastModifiedBy>
  <cp:revision>9</cp:revision>
  <cp:lastPrinted>2011-12-15T22:06:00Z</cp:lastPrinted>
  <dcterms:created xsi:type="dcterms:W3CDTF">2017-12-04T21:33:00Z</dcterms:created>
  <dcterms:modified xsi:type="dcterms:W3CDTF">2018-08-15T18:03:00Z</dcterms:modified>
</cp:coreProperties>
</file>