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DAE" w:rsidRPr="00CE0C51" w:rsidRDefault="00376DAE" w:rsidP="008B2043">
      <w:pPr>
        <w:spacing w:after="100" w:afterAutospacing="1"/>
        <w:rPr>
          <w:rFonts w:ascii="Arial" w:hAnsi="Arial" w:cs="Arial"/>
          <w:sz w:val="36"/>
          <w:szCs w:val="36"/>
        </w:rPr>
      </w:pPr>
      <w:bookmarkStart w:id="0" w:name="_GoBack"/>
      <w:bookmarkEnd w:id="0"/>
      <w:r w:rsidRPr="00CE0C51">
        <w:rPr>
          <w:rFonts w:ascii="Arial" w:hAnsi="Arial" w:cs="Arial"/>
          <w:sz w:val="36"/>
          <w:szCs w:val="36"/>
        </w:rPr>
        <w:t>University Resources for Funding</w:t>
      </w:r>
    </w:p>
    <w:p w:rsidR="00376DAE" w:rsidRPr="00921883" w:rsidRDefault="00376DAE" w:rsidP="008B2043">
      <w:pPr>
        <w:spacing w:after="100" w:afterAutospacing="1"/>
        <w:rPr>
          <w:rFonts w:ascii="Arial" w:hAnsi="Arial" w:cs="Arial"/>
        </w:rPr>
      </w:pPr>
    </w:p>
    <w:p w:rsidR="00376DAE" w:rsidRPr="00CE0C51" w:rsidRDefault="00376DAE" w:rsidP="008B2043">
      <w:pPr>
        <w:spacing w:after="100" w:afterAutospacing="1"/>
        <w:rPr>
          <w:rFonts w:ascii="Arial" w:hAnsi="Arial" w:cs="Arial"/>
          <w:b/>
          <w:sz w:val="28"/>
          <w:szCs w:val="28"/>
        </w:rPr>
      </w:pPr>
      <w:r w:rsidRPr="00CE0C51">
        <w:rPr>
          <w:rFonts w:ascii="Arial" w:hAnsi="Arial" w:cs="Arial"/>
          <w:b/>
          <w:sz w:val="28"/>
          <w:szCs w:val="28"/>
        </w:rPr>
        <w:t>Diversity Grants</w:t>
      </w:r>
      <w:r w:rsidR="00CE0C51">
        <w:rPr>
          <w:rFonts w:ascii="Arial" w:hAnsi="Arial" w:cs="Arial"/>
          <w:b/>
          <w:sz w:val="28"/>
          <w:szCs w:val="28"/>
        </w:rPr>
        <w:t xml:space="preserve"> – Office of Diversity and Inclusion</w:t>
      </w:r>
    </w:p>
    <w:p w:rsidR="002E1802" w:rsidRPr="002E1802" w:rsidRDefault="002E1802" w:rsidP="008B2043">
      <w:pPr>
        <w:pStyle w:val="NormalWeb"/>
        <w:spacing w:before="0" w:beforeAutospacing="0"/>
        <w:rPr>
          <w:rFonts w:ascii="Arial" w:hAnsi="Arial" w:cs="Arial"/>
          <w:sz w:val="24"/>
          <w:szCs w:val="24"/>
        </w:rPr>
      </w:pPr>
      <w:r w:rsidRPr="002E1802">
        <w:rPr>
          <w:rFonts w:ascii="Arial" w:hAnsi="Arial" w:cs="Arial"/>
          <w:sz w:val="24"/>
          <w:szCs w:val="24"/>
        </w:rPr>
        <w:t>The Diversity Program Funding Committee invites HSU student organizations, HSU staff and HSU faculty to submit proposals for programs offered on campus to the university community that raise awareness, deepen understanding, and/or engage the campus community in dialogue about one or more of the multiple dimensions of diversity. Such dimensions of diversity may include – but are not limited to – culture, ethnicity, sexual orientation, and ability. Proposals intended to increase the participation and retention of historically underrepresented groups in the campus community will also be considered.</w:t>
      </w:r>
    </w:p>
    <w:p w:rsidR="002E1802" w:rsidRPr="002E1802" w:rsidRDefault="002E1802" w:rsidP="008B2043">
      <w:pPr>
        <w:pStyle w:val="NormalWeb"/>
        <w:spacing w:before="0" w:beforeAutospacing="0"/>
        <w:rPr>
          <w:rFonts w:ascii="Arial" w:hAnsi="Arial" w:cs="Arial"/>
          <w:sz w:val="24"/>
          <w:szCs w:val="24"/>
        </w:rPr>
      </w:pPr>
      <w:r w:rsidRPr="002E1802">
        <w:rPr>
          <w:rFonts w:ascii="Arial" w:hAnsi="Arial" w:cs="Arial"/>
          <w:sz w:val="24"/>
          <w:szCs w:val="24"/>
        </w:rPr>
        <w:t>Allocations for HSU Diversity Program Award</w:t>
      </w:r>
      <w:r w:rsidR="00CE0C51">
        <w:rPr>
          <w:rFonts w:ascii="Arial" w:hAnsi="Arial" w:cs="Arial"/>
          <w:sz w:val="24"/>
          <w:szCs w:val="24"/>
        </w:rPr>
        <w:t xml:space="preserve">s typically fall between $100 </w:t>
      </w:r>
      <w:r w:rsidRPr="002E1802">
        <w:rPr>
          <w:rFonts w:ascii="Arial" w:hAnsi="Arial" w:cs="Arial"/>
          <w:sz w:val="24"/>
          <w:szCs w:val="24"/>
        </w:rPr>
        <w:t>$3,500. Partial funding for programs/activities is possible.</w:t>
      </w:r>
    </w:p>
    <w:p w:rsidR="002E1802" w:rsidRDefault="002E1802" w:rsidP="008B2043">
      <w:pPr>
        <w:pStyle w:val="NormalWeb"/>
        <w:spacing w:before="0" w:beforeAutospacing="0"/>
        <w:rPr>
          <w:rFonts w:ascii="Arial" w:hAnsi="Arial" w:cs="Arial"/>
          <w:sz w:val="24"/>
          <w:szCs w:val="24"/>
        </w:rPr>
      </w:pPr>
      <w:r w:rsidRPr="002E1802">
        <w:rPr>
          <w:rFonts w:ascii="Arial" w:hAnsi="Arial" w:cs="Arial"/>
          <w:sz w:val="24"/>
          <w:szCs w:val="24"/>
        </w:rPr>
        <w:t>Program expenses typically funded include speaker fees, travel for visiting speakers, event publicity and marketing, various expenses associated with individual activities/programs (from facility rental to printing event handouts), and many, many more.</w:t>
      </w:r>
    </w:p>
    <w:p w:rsidR="002E1802" w:rsidRPr="002E1802" w:rsidRDefault="00F117CB" w:rsidP="008B2043">
      <w:pPr>
        <w:pStyle w:val="NormalWeb"/>
        <w:spacing w:before="0" w:beforeAutospacing="0"/>
        <w:rPr>
          <w:rFonts w:ascii="Arial" w:hAnsi="Arial" w:cs="Arial"/>
          <w:sz w:val="24"/>
          <w:szCs w:val="24"/>
        </w:rPr>
      </w:pPr>
      <w:hyperlink r:id="rId5" w:history="1">
        <w:r w:rsidR="002E1802" w:rsidRPr="000B10A0">
          <w:rPr>
            <w:rStyle w:val="Hyperlink"/>
            <w:rFonts w:ascii="Arial" w:hAnsi="Arial" w:cs="Arial"/>
            <w:sz w:val="24"/>
            <w:szCs w:val="24"/>
          </w:rPr>
          <w:t>http://www2.humboldt.edu/diversity/diversity-program-grants/guidelines</w:t>
        </w:r>
      </w:hyperlink>
    </w:p>
    <w:p w:rsidR="00C312C4" w:rsidRDefault="00C312C4" w:rsidP="008B2043">
      <w:pPr>
        <w:spacing w:after="100" w:afterAutospacing="1"/>
        <w:rPr>
          <w:rFonts w:ascii="Arial" w:hAnsi="Arial" w:cs="Arial"/>
          <w:b/>
          <w:sz w:val="28"/>
          <w:szCs w:val="28"/>
        </w:rPr>
      </w:pPr>
    </w:p>
    <w:p w:rsidR="00CE0C51" w:rsidRPr="00C312C4" w:rsidRDefault="00376DAE" w:rsidP="008B2043">
      <w:pPr>
        <w:spacing w:after="100" w:afterAutospacing="1"/>
        <w:rPr>
          <w:rFonts w:ascii="Arial" w:hAnsi="Arial" w:cs="Arial"/>
          <w:b/>
          <w:sz w:val="28"/>
          <w:szCs w:val="28"/>
        </w:rPr>
      </w:pPr>
      <w:r w:rsidRPr="00CE0C51">
        <w:rPr>
          <w:rFonts w:ascii="Arial" w:hAnsi="Arial" w:cs="Arial"/>
          <w:b/>
          <w:sz w:val="28"/>
          <w:szCs w:val="28"/>
        </w:rPr>
        <w:t>IRA – Instructional Related Activities</w:t>
      </w:r>
    </w:p>
    <w:p w:rsidR="00EF4CCB" w:rsidRPr="00EF4CCB" w:rsidRDefault="00EF4CCB" w:rsidP="008B2043">
      <w:pPr>
        <w:spacing w:after="100" w:afterAutospacing="1"/>
        <w:rPr>
          <w:rFonts w:ascii="Arial" w:eastAsia="Times New Roman" w:hAnsi="Arial" w:cs="Arial"/>
          <w:lang w:eastAsia="en-US"/>
        </w:rPr>
      </w:pPr>
      <w:r w:rsidRPr="00EF4CCB">
        <w:rPr>
          <w:rFonts w:ascii="Arial" w:eastAsia="Times New Roman" w:hAnsi="Arial" w:cs="Arial"/>
          <w:lang w:eastAsia="en-US"/>
        </w:rPr>
        <w:t xml:space="preserve">The IRA fee was established to provide support for essential educational experiences and activities that aid and supplement the fundamental educational mission of the institution. </w:t>
      </w:r>
    </w:p>
    <w:p w:rsidR="002E1802" w:rsidRDefault="00F117CB" w:rsidP="008B2043">
      <w:pPr>
        <w:spacing w:after="100" w:afterAutospacing="1"/>
        <w:rPr>
          <w:rFonts w:ascii="Arial" w:hAnsi="Arial" w:cs="Arial"/>
        </w:rPr>
      </w:pPr>
      <w:hyperlink r:id="rId6" w:history="1">
        <w:r w:rsidR="002E1802" w:rsidRPr="000B10A0">
          <w:rPr>
            <w:rStyle w:val="Hyperlink"/>
            <w:rFonts w:ascii="Arial" w:hAnsi="Arial" w:cs="Arial"/>
          </w:rPr>
          <w:t>http://www2.humboldt.edu/associatedstudents/images/uploads/forms/IRA_Funding_Guidelines_updated_2.5.15.pdf</w:t>
        </w:r>
      </w:hyperlink>
    </w:p>
    <w:p w:rsidR="00C312C4" w:rsidRPr="00921883" w:rsidRDefault="00C312C4" w:rsidP="008B2043">
      <w:pPr>
        <w:spacing w:after="100" w:afterAutospacing="1"/>
        <w:rPr>
          <w:rFonts w:ascii="Arial" w:hAnsi="Arial" w:cs="Arial"/>
        </w:rPr>
      </w:pPr>
    </w:p>
    <w:p w:rsidR="00CE0C51" w:rsidRPr="00C312C4" w:rsidRDefault="00CE0C51" w:rsidP="008B2043">
      <w:pPr>
        <w:spacing w:after="100" w:afterAutospacing="1"/>
        <w:rPr>
          <w:rFonts w:ascii="Arial" w:hAnsi="Arial" w:cs="Arial"/>
          <w:b/>
          <w:sz w:val="28"/>
          <w:szCs w:val="28"/>
        </w:rPr>
      </w:pPr>
      <w:r>
        <w:rPr>
          <w:rFonts w:ascii="Arial" w:hAnsi="Arial" w:cs="Arial"/>
          <w:b/>
          <w:sz w:val="28"/>
          <w:szCs w:val="28"/>
        </w:rPr>
        <w:t>Associated Students (</w:t>
      </w:r>
      <w:r w:rsidR="00376DAE" w:rsidRPr="00CE0C51">
        <w:rPr>
          <w:rFonts w:ascii="Arial" w:hAnsi="Arial" w:cs="Arial"/>
          <w:b/>
          <w:sz w:val="28"/>
          <w:szCs w:val="28"/>
        </w:rPr>
        <w:t>AS</w:t>
      </w:r>
      <w:r>
        <w:rPr>
          <w:rFonts w:ascii="Arial" w:hAnsi="Arial" w:cs="Arial"/>
          <w:b/>
          <w:sz w:val="28"/>
          <w:szCs w:val="28"/>
        </w:rPr>
        <w:t>)</w:t>
      </w:r>
      <w:r w:rsidR="00376DAE" w:rsidRPr="00CE0C51">
        <w:rPr>
          <w:rFonts w:ascii="Arial" w:hAnsi="Arial" w:cs="Arial"/>
          <w:b/>
          <w:sz w:val="28"/>
          <w:szCs w:val="28"/>
        </w:rPr>
        <w:t xml:space="preserve"> Club Grants</w:t>
      </w:r>
    </w:p>
    <w:p w:rsidR="002E1802" w:rsidRPr="00921883" w:rsidRDefault="002E1802" w:rsidP="008B2043">
      <w:pPr>
        <w:spacing w:after="100" w:afterAutospacing="1"/>
        <w:rPr>
          <w:rFonts w:ascii="Arial" w:hAnsi="Arial" w:cs="Arial"/>
        </w:rPr>
      </w:pPr>
      <w:r>
        <w:rPr>
          <w:rFonts w:ascii="Arial" w:hAnsi="Arial" w:cs="Arial"/>
        </w:rPr>
        <w:t>Funding for clubs includes: Travel, Event and Cultural Programing</w:t>
      </w:r>
    </w:p>
    <w:p w:rsidR="00376DAE" w:rsidRDefault="00F117CB" w:rsidP="008B2043">
      <w:pPr>
        <w:spacing w:after="100" w:afterAutospacing="1"/>
        <w:rPr>
          <w:rFonts w:ascii="Arial" w:hAnsi="Arial" w:cs="Arial"/>
        </w:rPr>
      </w:pPr>
      <w:hyperlink r:id="rId7" w:history="1">
        <w:r w:rsidR="002E1802" w:rsidRPr="000B10A0">
          <w:rPr>
            <w:rStyle w:val="Hyperlink"/>
            <w:rFonts w:ascii="Arial" w:hAnsi="Arial" w:cs="Arial"/>
          </w:rPr>
          <w:t>https://clubs.humboldt.edu/funding</w:t>
        </w:r>
      </w:hyperlink>
    </w:p>
    <w:p w:rsidR="002E1802" w:rsidRPr="00921883" w:rsidRDefault="002E1802" w:rsidP="008B2043">
      <w:pPr>
        <w:spacing w:after="100" w:afterAutospacing="1"/>
        <w:rPr>
          <w:rFonts w:ascii="Arial" w:hAnsi="Arial" w:cs="Arial"/>
        </w:rPr>
      </w:pPr>
    </w:p>
    <w:p w:rsidR="00CE0C51" w:rsidRPr="00C312C4" w:rsidRDefault="00376DAE" w:rsidP="008B2043">
      <w:pPr>
        <w:spacing w:after="100" w:afterAutospacing="1"/>
        <w:rPr>
          <w:rStyle w:val="Strong"/>
          <w:rFonts w:ascii="Arial" w:hAnsi="Arial" w:cs="Arial"/>
          <w:bCs w:val="0"/>
          <w:sz w:val="28"/>
          <w:szCs w:val="28"/>
        </w:rPr>
      </w:pPr>
      <w:r w:rsidRPr="00CE0C51">
        <w:rPr>
          <w:rFonts w:ascii="Arial" w:hAnsi="Arial" w:cs="Arial"/>
          <w:b/>
          <w:sz w:val="28"/>
          <w:szCs w:val="28"/>
        </w:rPr>
        <w:t>Lottery Funds</w:t>
      </w:r>
      <w:r w:rsidR="00CE0C51">
        <w:rPr>
          <w:rFonts w:ascii="Arial" w:hAnsi="Arial" w:cs="Arial"/>
          <w:b/>
          <w:sz w:val="28"/>
          <w:szCs w:val="28"/>
        </w:rPr>
        <w:t xml:space="preserve"> –Office of the Provost</w:t>
      </w:r>
    </w:p>
    <w:p w:rsidR="00921883" w:rsidRDefault="00921883" w:rsidP="008B2043">
      <w:pPr>
        <w:spacing w:after="100" w:afterAutospacing="1"/>
        <w:rPr>
          <w:rFonts w:ascii="Arial" w:eastAsia="Times New Roman" w:hAnsi="Arial" w:cs="Arial"/>
        </w:rPr>
      </w:pPr>
      <w:r w:rsidRPr="00921883">
        <w:rPr>
          <w:rStyle w:val="Strong"/>
          <w:rFonts w:ascii="Arial" w:eastAsia="Times New Roman" w:hAnsi="Arial" w:cs="Arial"/>
        </w:rPr>
        <w:t> </w:t>
      </w:r>
      <w:r w:rsidRPr="00921883">
        <w:rPr>
          <w:rFonts w:ascii="Arial" w:eastAsia="Times New Roman" w:hAnsi="Arial" w:cs="Arial"/>
        </w:rPr>
        <w:t>“…</w:t>
      </w:r>
      <w:r w:rsidR="00EF4CCB">
        <w:rPr>
          <w:rFonts w:ascii="Arial" w:eastAsia="Times New Roman" w:hAnsi="Arial" w:cs="Arial"/>
        </w:rPr>
        <w:t xml:space="preserve"> </w:t>
      </w:r>
      <w:r w:rsidRPr="00921883">
        <w:rPr>
          <w:rFonts w:ascii="Arial" w:eastAsia="Times New Roman" w:hAnsi="Arial" w:cs="Arial"/>
        </w:rPr>
        <w:t>all funds allocated from the California State Lottery Education Fund shall be used exclusively for the education of pupils and students and no funds shall be spent for acquisition of real property, construction of facilities, financing of research or any other non-instructional purpose.” </w:t>
      </w:r>
    </w:p>
    <w:p w:rsidR="002E1802" w:rsidRDefault="002E1802" w:rsidP="008B2043">
      <w:pPr>
        <w:spacing w:after="100" w:afterAutospacing="1"/>
        <w:rPr>
          <w:rFonts w:ascii="Arial" w:eastAsia="Times New Roman" w:hAnsi="Arial" w:cs="Arial"/>
        </w:rPr>
      </w:pPr>
    </w:p>
    <w:p w:rsidR="002E1802" w:rsidRPr="00EF4CCB" w:rsidRDefault="002E1802" w:rsidP="008B2043">
      <w:pPr>
        <w:spacing w:after="100" w:afterAutospacing="1"/>
        <w:rPr>
          <w:rFonts w:ascii="Arial" w:eastAsia="Times New Roman" w:hAnsi="Arial" w:cs="Arial"/>
        </w:rPr>
      </w:pPr>
      <w:r>
        <w:rPr>
          <w:rFonts w:ascii="Arial" w:eastAsia="Times New Roman" w:hAnsi="Arial" w:cs="Arial"/>
        </w:rPr>
        <w:lastRenderedPageBreak/>
        <w:t>Funds awarded by the Provost on recommendation from the college. Call should be coming in spring.</w:t>
      </w:r>
    </w:p>
    <w:p w:rsidR="00376DAE" w:rsidRPr="00921883" w:rsidRDefault="00376DAE" w:rsidP="008B2043">
      <w:pPr>
        <w:spacing w:after="100" w:afterAutospacing="1"/>
        <w:rPr>
          <w:rFonts w:ascii="Arial" w:hAnsi="Arial" w:cs="Arial"/>
        </w:rPr>
      </w:pPr>
    </w:p>
    <w:p w:rsidR="00CE0C51" w:rsidRDefault="00376DAE" w:rsidP="008B2043">
      <w:pPr>
        <w:spacing w:after="100" w:afterAutospacing="1"/>
        <w:rPr>
          <w:rFonts w:ascii="Arial" w:hAnsi="Arial" w:cs="Arial"/>
        </w:rPr>
      </w:pPr>
      <w:r w:rsidRPr="00CE0C51">
        <w:rPr>
          <w:rFonts w:ascii="Arial" w:hAnsi="Arial" w:cs="Arial"/>
          <w:b/>
          <w:sz w:val="28"/>
          <w:szCs w:val="28"/>
        </w:rPr>
        <w:t>Loyalty Grants</w:t>
      </w:r>
      <w:r w:rsidR="00EF4CCB">
        <w:rPr>
          <w:rFonts w:ascii="Arial" w:hAnsi="Arial" w:cs="Arial"/>
        </w:rPr>
        <w:t xml:space="preserve"> </w:t>
      </w:r>
    </w:p>
    <w:p w:rsidR="00376DAE" w:rsidRDefault="00EF4CCB" w:rsidP="008B2043">
      <w:pPr>
        <w:spacing w:after="100" w:afterAutospacing="1"/>
        <w:rPr>
          <w:rFonts w:ascii="Arial" w:hAnsi="Arial" w:cs="Arial"/>
        </w:rPr>
      </w:pPr>
      <w:r>
        <w:rPr>
          <w:rFonts w:ascii="Arial" w:hAnsi="Arial" w:cs="Arial"/>
        </w:rPr>
        <w:t>Deadline in March, yearly</w:t>
      </w:r>
    </w:p>
    <w:p w:rsidR="00EF4CCB" w:rsidRPr="00921883" w:rsidRDefault="00F117CB" w:rsidP="008B2043">
      <w:pPr>
        <w:spacing w:after="100" w:afterAutospacing="1"/>
        <w:rPr>
          <w:rFonts w:ascii="Arial" w:hAnsi="Arial" w:cs="Arial"/>
        </w:rPr>
      </w:pPr>
      <w:hyperlink r:id="rId8" w:history="1">
        <w:r w:rsidR="00EF4CCB" w:rsidRPr="000B10A0">
          <w:rPr>
            <w:rStyle w:val="Hyperlink"/>
            <w:rFonts w:ascii="Arial" w:hAnsi="Arial" w:cs="Arial"/>
          </w:rPr>
          <w:t>https://www2.humboldt.edu/pmc/sites/default/files/Humboldt-Loyalty-Grant-Submission-Guidelines-2016-17.pdf</w:t>
        </w:r>
      </w:hyperlink>
    </w:p>
    <w:p w:rsidR="00376DAE" w:rsidRPr="00921883" w:rsidRDefault="00376DAE" w:rsidP="008B2043">
      <w:pPr>
        <w:spacing w:after="100" w:afterAutospacing="1"/>
        <w:rPr>
          <w:rFonts w:ascii="Arial" w:hAnsi="Arial" w:cs="Arial"/>
        </w:rPr>
      </w:pPr>
    </w:p>
    <w:p w:rsidR="00376DAE" w:rsidRPr="00CE0C51" w:rsidRDefault="00376DAE" w:rsidP="008B2043">
      <w:pPr>
        <w:spacing w:after="100" w:afterAutospacing="1"/>
        <w:rPr>
          <w:rFonts w:ascii="Arial" w:hAnsi="Arial" w:cs="Arial"/>
          <w:b/>
          <w:sz w:val="28"/>
          <w:szCs w:val="28"/>
        </w:rPr>
      </w:pPr>
      <w:r w:rsidRPr="00CE0C51">
        <w:rPr>
          <w:rFonts w:ascii="Arial" w:hAnsi="Arial" w:cs="Arial"/>
          <w:b/>
          <w:sz w:val="28"/>
          <w:szCs w:val="28"/>
        </w:rPr>
        <w:t>Other Resources</w:t>
      </w:r>
      <w:r w:rsidR="00CE0C51">
        <w:rPr>
          <w:rFonts w:ascii="Arial" w:hAnsi="Arial" w:cs="Arial"/>
          <w:b/>
          <w:sz w:val="28"/>
          <w:szCs w:val="28"/>
        </w:rPr>
        <w:t xml:space="preserve"> </w:t>
      </w:r>
    </w:p>
    <w:p w:rsidR="00CE0C51" w:rsidRPr="00C312C4" w:rsidRDefault="00CE0C51" w:rsidP="008B2043">
      <w:pPr>
        <w:spacing w:after="100" w:afterAutospacing="1"/>
        <w:rPr>
          <w:rFonts w:ascii="Arial" w:hAnsi="Arial" w:cs="Arial"/>
          <w:sz w:val="28"/>
          <w:szCs w:val="28"/>
        </w:rPr>
      </w:pPr>
      <w:r>
        <w:rPr>
          <w:rFonts w:ascii="Arial" w:hAnsi="Arial" w:cs="Arial"/>
          <w:sz w:val="28"/>
          <w:szCs w:val="28"/>
        </w:rPr>
        <w:t xml:space="preserve">HSU </w:t>
      </w:r>
      <w:r w:rsidR="00376DAE" w:rsidRPr="00CE0C51">
        <w:rPr>
          <w:rFonts w:ascii="Arial" w:hAnsi="Arial" w:cs="Arial"/>
          <w:sz w:val="28"/>
          <w:szCs w:val="28"/>
        </w:rPr>
        <w:t xml:space="preserve">Library </w:t>
      </w:r>
    </w:p>
    <w:p w:rsidR="00376DAE" w:rsidRPr="00CE0C51" w:rsidRDefault="00376DAE" w:rsidP="008B2043">
      <w:pPr>
        <w:spacing w:after="100" w:afterAutospacing="1"/>
        <w:rPr>
          <w:rFonts w:ascii="Arial" w:eastAsia="Times New Roman" w:hAnsi="Arial" w:cs="Arial"/>
          <w:b/>
        </w:rPr>
      </w:pPr>
      <w:r w:rsidRPr="00CE0C51">
        <w:rPr>
          <w:rFonts w:ascii="Arial" w:eastAsia="Times New Roman" w:hAnsi="Arial" w:cs="Arial"/>
          <w:b/>
        </w:rPr>
        <w:t xml:space="preserve">Humboldt Scholars Lab </w:t>
      </w:r>
    </w:p>
    <w:p w:rsidR="00376DAE" w:rsidRPr="00921883" w:rsidRDefault="008B2043" w:rsidP="008B2043">
      <w:pPr>
        <w:spacing w:after="100" w:afterAutospacing="1"/>
        <w:rPr>
          <w:rFonts w:ascii="Arial" w:eastAsia="Times New Roman" w:hAnsi="Arial" w:cs="Arial"/>
        </w:rPr>
      </w:pPr>
      <w:r>
        <w:rPr>
          <w:rFonts w:ascii="Arial" w:eastAsia="Times New Roman" w:hAnsi="Arial" w:cs="Arial"/>
        </w:rPr>
        <w:t>The Humboldt Scholars Lab is</w:t>
      </w:r>
      <w:r w:rsidR="00376DAE" w:rsidRPr="00921883">
        <w:rPr>
          <w:rFonts w:ascii="Arial" w:eastAsia="Times New Roman" w:hAnsi="Arial" w:cs="Arial"/>
        </w:rPr>
        <w:t xml:space="preserve"> a place dedicated to foster collaboration between HSU students and faculty in advanced studies or digital humanities and scholarship projects that require consulta</w:t>
      </w:r>
      <w:r>
        <w:rPr>
          <w:rFonts w:ascii="Arial" w:eastAsia="Times New Roman" w:hAnsi="Arial" w:cs="Arial"/>
        </w:rPr>
        <w:t xml:space="preserve">tion, planning, and technology.  </w:t>
      </w:r>
      <w:r w:rsidR="00376DAE" w:rsidRPr="00921883">
        <w:rPr>
          <w:rFonts w:ascii="Arial" w:eastAsia="Times New Roman" w:hAnsi="Arial" w:cs="Arial"/>
        </w:rPr>
        <w:t>Conversations about research interests and collaborations on digital humanities or science projects, geospatial information projects, digital scholarship, and research data services are developed in the Scholars Lab and shared with the research community.</w:t>
      </w:r>
    </w:p>
    <w:p w:rsidR="00376DAE" w:rsidRPr="00CE0C51" w:rsidRDefault="00376DAE" w:rsidP="008B2043">
      <w:pPr>
        <w:spacing w:after="100" w:afterAutospacing="1"/>
        <w:rPr>
          <w:rFonts w:ascii="Arial" w:eastAsia="Times New Roman" w:hAnsi="Arial" w:cs="Arial"/>
          <w:b/>
        </w:rPr>
      </w:pPr>
      <w:r w:rsidRPr="00CE0C51">
        <w:rPr>
          <w:rFonts w:ascii="Arial" w:eastAsia="Times New Roman" w:hAnsi="Arial" w:cs="Arial"/>
          <w:b/>
        </w:rPr>
        <w:t xml:space="preserve">Digital Media Lab </w:t>
      </w:r>
    </w:p>
    <w:p w:rsidR="00376DAE" w:rsidRPr="00921883" w:rsidRDefault="00376DAE" w:rsidP="008B2043">
      <w:pPr>
        <w:spacing w:after="100" w:afterAutospacing="1"/>
        <w:rPr>
          <w:rFonts w:ascii="Arial" w:hAnsi="Arial" w:cs="Arial"/>
        </w:rPr>
      </w:pPr>
      <w:r w:rsidRPr="00921883">
        <w:rPr>
          <w:rFonts w:ascii="Arial" w:eastAsia="Times New Roman" w:hAnsi="Arial" w:cs="Arial"/>
        </w:rPr>
        <w:t>The Digital Lab provides all students with access to audio/video production technologies and instruction necessary to communicate scholarship beyond the classroom.</w:t>
      </w:r>
    </w:p>
    <w:p w:rsidR="00921883" w:rsidRPr="00CE0C51" w:rsidRDefault="00921883" w:rsidP="008B2043">
      <w:pPr>
        <w:spacing w:after="100" w:afterAutospacing="1"/>
        <w:rPr>
          <w:rFonts w:ascii="Arial" w:eastAsia="Times New Roman" w:hAnsi="Arial" w:cs="Arial"/>
          <w:b/>
        </w:rPr>
      </w:pPr>
      <w:r w:rsidRPr="00CE0C51">
        <w:rPr>
          <w:rFonts w:ascii="Arial" w:eastAsia="Times New Roman" w:hAnsi="Arial" w:cs="Arial"/>
          <w:b/>
        </w:rPr>
        <w:t xml:space="preserve">The Data &amp; Geographic Information Systems (GIS) Visualization Lab </w:t>
      </w:r>
    </w:p>
    <w:p w:rsidR="00376DAE" w:rsidRPr="00921883" w:rsidRDefault="00921883" w:rsidP="008B2043">
      <w:pPr>
        <w:spacing w:after="100" w:afterAutospacing="1"/>
        <w:rPr>
          <w:rFonts w:ascii="Arial" w:eastAsia="Times New Roman" w:hAnsi="Arial" w:cs="Arial"/>
        </w:rPr>
      </w:pPr>
      <w:r w:rsidRPr="00921883">
        <w:rPr>
          <w:rFonts w:ascii="Arial" w:eastAsia="Times New Roman" w:hAnsi="Arial" w:cs="Arial"/>
        </w:rPr>
        <w:t>This lab provides students with the software, hardware and training necessary for effective data visualization and communication and preparation for joining a skilled workforce</w:t>
      </w:r>
    </w:p>
    <w:p w:rsidR="00921883" w:rsidRPr="00921883" w:rsidRDefault="00921883" w:rsidP="008B2043">
      <w:pPr>
        <w:spacing w:after="100" w:afterAutospacing="1"/>
        <w:rPr>
          <w:rFonts w:ascii="Arial" w:eastAsia="Times New Roman" w:hAnsi="Arial" w:cs="Arial"/>
        </w:rPr>
      </w:pPr>
    </w:p>
    <w:p w:rsidR="00CE0C51" w:rsidRPr="00C312C4" w:rsidRDefault="00CE0C51" w:rsidP="008B2043">
      <w:pPr>
        <w:spacing w:after="100" w:afterAutospacing="1"/>
        <w:rPr>
          <w:rFonts w:ascii="Arial" w:hAnsi="Arial" w:cs="Arial"/>
          <w:b/>
          <w:bCs/>
          <w:sz w:val="28"/>
          <w:lang w:eastAsia="en-US"/>
        </w:rPr>
      </w:pPr>
      <w:r w:rsidRPr="00C312C4">
        <w:rPr>
          <w:rFonts w:ascii="Arial" w:hAnsi="Arial" w:cs="Arial"/>
          <w:b/>
          <w:bCs/>
          <w:sz w:val="28"/>
          <w:lang w:eastAsia="en-US"/>
        </w:rPr>
        <w:t>Departmental Funding, OE and CERF</w:t>
      </w:r>
    </w:p>
    <w:p w:rsidR="00921883" w:rsidRPr="00921883" w:rsidRDefault="00921883" w:rsidP="008B2043">
      <w:pPr>
        <w:spacing w:after="100" w:afterAutospacing="1"/>
        <w:rPr>
          <w:rFonts w:ascii="Arial" w:hAnsi="Arial" w:cs="Arial"/>
          <w:lang w:eastAsia="en-US"/>
        </w:rPr>
      </w:pPr>
      <w:r w:rsidRPr="00CE0C51">
        <w:rPr>
          <w:rFonts w:ascii="Arial" w:hAnsi="Arial" w:cs="Arial"/>
          <w:b/>
          <w:bCs/>
          <w:lang w:eastAsia="en-US"/>
        </w:rPr>
        <w:t xml:space="preserve">Department OE: </w:t>
      </w:r>
      <w:r w:rsidRPr="00CE0C51">
        <w:rPr>
          <w:rFonts w:ascii="Arial" w:hAnsi="Arial" w:cs="Arial"/>
          <w:lang w:eastAsia="en-US"/>
        </w:rPr>
        <w:t>These funds should be used for those supplies and services</w:t>
      </w:r>
      <w:r w:rsidRPr="00921883">
        <w:rPr>
          <w:rFonts w:ascii="Arial" w:hAnsi="Arial" w:cs="Arial"/>
          <w:lang w:eastAsia="en-US"/>
        </w:rPr>
        <w:t xml:space="preserve"> basic to the on-going operations of the department/program. </w:t>
      </w:r>
    </w:p>
    <w:p w:rsidR="00EF4CCB" w:rsidRDefault="00921883" w:rsidP="008B2043">
      <w:pPr>
        <w:spacing w:after="100" w:afterAutospacing="1"/>
        <w:rPr>
          <w:rFonts w:ascii="Arial" w:hAnsi="Arial" w:cs="Arial"/>
          <w:lang w:eastAsia="en-US"/>
        </w:rPr>
      </w:pPr>
      <w:r w:rsidRPr="00921883">
        <w:rPr>
          <w:rFonts w:ascii="Arial" w:hAnsi="Arial" w:cs="Arial"/>
          <w:lang w:eastAsia="en-US"/>
        </w:rPr>
        <w:t xml:space="preserve">Expected use includes, but is not limited to: </w:t>
      </w:r>
    </w:p>
    <w:p w:rsidR="00EF4CCB" w:rsidRDefault="00921883" w:rsidP="008B2043">
      <w:pPr>
        <w:spacing w:after="100" w:afterAutospacing="1"/>
        <w:rPr>
          <w:rFonts w:ascii="Arial" w:hAnsi="Arial" w:cs="Arial"/>
          <w:lang w:eastAsia="en-US"/>
        </w:rPr>
      </w:pPr>
      <w:r w:rsidRPr="00921883">
        <w:rPr>
          <w:rFonts w:ascii="Arial" w:hAnsi="Arial" w:cs="Arial"/>
          <w:lang w:eastAsia="en-US"/>
        </w:rPr>
        <w:t>A.</w:t>
      </w:r>
      <w:r>
        <w:rPr>
          <w:rFonts w:ascii="Arial" w:hAnsi="Arial" w:cs="Arial"/>
          <w:lang w:eastAsia="en-US"/>
        </w:rPr>
        <w:t> </w:t>
      </w:r>
      <w:r w:rsidRPr="00921883">
        <w:rPr>
          <w:rFonts w:ascii="Arial" w:hAnsi="Arial" w:cs="Arial"/>
          <w:lang w:eastAsia="en-US"/>
        </w:rPr>
        <w:t xml:space="preserve">Office Operations and Supplies </w:t>
      </w:r>
    </w:p>
    <w:p w:rsidR="00EF4CCB" w:rsidRDefault="00921883" w:rsidP="008B2043">
      <w:pPr>
        <w:spacing w:after="100" w:afterAutospacing="1"/>
        <w:rPr>
          <w:rFonts w:ascii="Arial" w:hAnsi="Arial" w:cs="Arial"/>
          <w:lang w:eastAsia="en-US"/>
        </w:rPr>
      </w:pPr>
      <w:r w:rsidRPr="00921883">
        <w:rPr>
          <w:rFonts w:ascii="Arial" w:hAnsi="Arial" w:cs="Arial"/>
          <w:lang w:eastAsia="en-US"/>
        </w:rPr>
        <w:t>B.</w:t>
      </w:r>
      <w:r>
        <w:rPr>
          <w:rFonts w:ascii="Arial" w:hAnsi="Arial" w:cs="Arial"/>
          <w:lang w:eastAsia="en-US"/>
        </w:rPr>
        <w:t> </w:t>
      </w:r>
      <w:r w:rsidRPr="00921883">
        <w:rPr>
          <w:rFonts w:ascii="Arial" w:hAnsi="Arial" w:cs="Arial"/>
          <w:lang w:eastAsia="en-US"/>
        </w:rPr>
        <w:t xml:space="preserve">Facilities and Equipment Maintenance </w:t>
      </w:r>
    </w:p>
    <w:p w:rsidR="00EF4CCB" w:rsidRDefault="00921883" w:rsidP="008B2043">
      <w:pPr>
        <w:spacing w:after="100" w:afterAutospacing="1"/>
        <w:rPr>
          <w:rFonts w:ascii="Arial" w:hAnsi="Arial" w:cs="Arial"/>
          <w:lang w:eastAsia="en-US"/>
        </w:rPr>
      </w:pPr>
      <w:r w:rsidRPr="00921883">
        <w:rPr>
          <w:rFonts w:ascii="Arial" w:hAnsi="Arial" w:cs="Arial"/>
          <w:lang w:eastAsia="en-US"/>
        </w:rPr>
        <w:t>C.</w:t>
      </w:r>
      <w:r>
        <w:rPr>
          <w:rFonts w:ascii="Arial" w:hAnsi="Arial" w:cs="Arial"/>
          <w:lang w:eastAsia="en-US"/>
        </w:rPr>
        <w:t> </w:t>
      </w:r>
      <w:r w:rsidRPr="00921883">
        <w:rPr>
          <w:rFonts w:ascii="Arial" w:hAnsi="Arial" w:cs="Arial"/>
          <w:lang w:eastAsia="en-US"/>
        </w:rPr>
        <w:t xml:space="preserve">Faculty Needs </w:t>
      </w:r>
    </w:p>
    <w:p w:rsidR="00EF4CCB" w:rsidRDefault="00921883" w:rsidP="008B2043">
      <w:pPr>
        <w:spacing w:after="100" w:afterAutospacing="1"/>
        <w:rPr>
          <w:rFonts w:ascii="Arial" w:hAnsi="Arial" w:cs="Arial"/>
          <w:lang w:eastAsia="en-US"/>
        </w:rPr>
      </w:pPr>
      <w:r w:rsidRPr="00921883">
        <w:rPr>
          <w:rFonts w:ascii="Arial" w:hAnsi="Arial" w:cs="Arial"/>
          <w:lang w:eastAsia="en-US"/>
        </w:rPr>
        <w:t xml:space="preserve">D. Instructional Needs </w:t>
      </w:r>
    </w:p>
    <w:p w:rsidR="008B2043" w:rsidRDefault="00EF4CCB" w:rsidP="008B2043">
      <w:pPr>
        <w:spacing w:after="100" w:afterAutospacing="1"/>
        <w:rPr>
          <w:rFonts w:ascii="Arial" w:hAnsi="Arial" w:cs="Arial"/>
          <w:lang w:eastAsia="en-US"/>
        </w:rPr>
      </w:pPr>
      <w:r>
        <w:rPr>
          <w:rFonts w:ascii="Arial" w:hAnsi="Arial" w:cs="Arial"/>
          <w:lang w:eastAsia="en-US"/>
        </w:rPr>
        <w:lastRenderedPageBreak/>
        <w:t xml:space="preserve"> </w:t>
      </w:r>
      <w:r w:rsidR="00921883" w:rsidRPr="00921883">
        <w:rPr>
          <w:rFonts w:ascii="Arial" w:hAnsi="Arial" w:cs="Arial"/>
          <w:lang w:eastAsia="en-US"/>
        </w:rPr>
        <w:t>E.</w:t>
      </w:r>
      <w:r w:rsidR="00921883">
        <w:rPr>
          <w:rFonts w:ascii="Arial" w:hAnsi="Arial" w:cs="Arial"/>
          <w:lang w:eastAsia="en-US"/>
        </w:rPr>
        <w:t> </w:t>
      </w:r>
      <w:r w:rsidR="00921883" w:rsidRPr="00921883">
        <w:rPr>
          <w:rFonts w:ascii="Arial" w:hAnsi="Arial" w:cs="Arial"/>
          <w:lang w:eastAsia="en-US"/>
        </w:rPr>
        <w:t xml:space="preserve">Upon approval by the Dean, OE funds may be converted/transferred to temp help budget by the departments. </w:t>
      </w:r>
    </w:p>
    <w:p w:rsidR="008B2043" w:rsidRPr="008B2043" w:rsidRDefault="008B2043" w:rsidP="008B2043">
      <w:pPr>
        <w:spacing w:after="100" w:afterAutospacing="1"/>
        <w:rPr>
          <w:rFonts w:ascii="Arial" w:hAnsi="Arial" w:cs="Arial"/>
          <w:lang w:eastAsia="en-US"/>
        </w:rPr>
      </w:pPr>
    </w:p>
    <w:p w:rsidR="00EF4CCB" w:rsidRDefault="00921883" w:rsidP="008B2043">
      <w:pPr>
        <w:spacing w:after="100" w:afterAutospacing="1"/>
        <w:rPr>
          <w:rFonts w:ascii="Arial" w:hAnsi="Arial" w:cs="Arial"/>
          <w:lang w:eastAsia="en-US"/>
        </w:rPr>
      </w:pPr>
      <w:r w:rsidRPr="00CE0C51">
        <w:rPr>
          <w:rFonts w:ascii="Arial" w:hAnsi="Arial" w:cs="Arial"/>
          <w:b/>
          <w:bCs/>
          <w:lang w:eastAsia="en-US"/>
        </w:rPr>
        <w:t xml:space="preserve">Trust Funds:  </w:t>
      </w:r>
      <w:r w:rsidRPr="00921883">
        <w:rPr>
          <w:rFonts w:ascii="Arial" w:hAnsi="Arial" w:cs="Arial"/>
          <w:lang w:eastAsia="en-US"/>
        </w:rPr>
        <w:t xml:space="preserve">These are revenue funds and can be located in HMCMP (campus) or HMADV (Advancement).  </w:t>
      </w:r>
    </w:p>
    <w:p w:rsidR="00EF4CCB" w:rsidRDefault="00921883" w:rsidP="008B2043">
      <w:pPr>
        <w:spacing w:after="100" w:afterAutospacing="1"/>
        <w:rPr>
          <w:rFonts w:ascii="Arial" w:hAnsi="Arial" w:cs="Arial"/>
          <w:lang w:eastAsia="en-US"/>
        </w:rPr>
      </w:pPr>
      <w:r w:rsidRPr="00921883">
        <w:rPr>
          <w:rFonts w:ascii="Arial" w:hAnsi="Arial" w:cs="Arial"/>
          <w:lang w:eastAsia="en-US"/>
        </w:rPr>
        <w:t>A.</w:t>
      </w:r>
      <w:r>
        <w:rPr>
          <w:rFonts w:ascii="Arial" w:hAnsi="Arial" w:cs="Arial"/>
          <w:lang w:eastAsia="en-US"/>
        </w:rPr>
        <w:t> </w:t>
      </w:r>
      <w:r w:rsidRPr="00921883">
        <w:rPr>
          <w:rFonts w:ascii="Arial" w:hAnsi="Arial" w:cs="Arial"/>
          <w:lang w:eastAsia="en-US"/>
        </w:rPr>
        <w:t xml:space="preserve">All departments have an HMADV trust, which contains revenue from fundraising and donations.  </w:t>
      </w:r>
    </w:p>
    <w:p w:rsidR="00EF4CCB" w:rsidRDefault="00921883" w:rsidP="008B2043">
      <w:pPr>
        <w:spacing w:after="100" w:afterAutospacing="1"/>
        <w:rPr>
          <w:rFonts w:ascii="Arial" w:hAnsi="Arial" w:cs="Arial"/>
          <w:lang w:eastAsia="en-US"/>
        </w:rPr>
      </w:pPr>
      <w:r w:rsidRPr="00921883">
        <w:rPr>
          <w:rFonts w:ascii="Arial" w:hAnsi="Arial" w:cs="Arial"/>
          <w:lang w:eastAsia="en-US"/>
        </w:rPr>
        <w:t>B.</w:t>
      </w:r>
      <w:r>
        <w:rPr>
          <w:rFonts w:ascii="Arial" w:hAnsi="Arial" w:cs="Arial"/>
          <w:lang w:eastAsia="en-US"/>
        </w:rPr>
        <w:t> </w:t>
      </w:r>
      <w:r w:rsidRPr="00921883">
        <w:rPr>
          <w:rFonts w:ascii="Arial" w:hAnsi="Arial" w:cs="Arial"/>
          <w:lang w:eastAsia="en-US"/>
        </w:rPr>
        <w:t>Some departments have an HMCMP trust, which contains non fundraising/donation revenue, such as sales of goods.</w:t>
      </w:r>
    </w:p>
    <w:p w:rsidR="00921883" w:rsidRPr="00921883" w:rsidRDefault="00921883" w:rsidP="008B2043">
      <w:pPr>
        <w:spacing w:after="100" w:afterAutospacing="1"/>
        <w:rPr>
          <w:rFonts w:ascii="Arial" w:hAnsi="Arial" w:cs="Arial"/>
          <w:lang w:eastAsia="en-US"/>
        </w:rPr>
      </w:pPr>
      <w:r w:rsidRPr="00921883">
        <w:rPr>
          <w:rFonts w:ascii="Arial" w:hAnsi="Arial" w:cs="Arial"/>
          <w:lang w:eastAsia="en-US"/>
        </w:rPr>
        <w:t xml:space="preserve">C. Unless stated in the trust agreement, there are no restrictions on the use of these funds. </w:t>
      </w:r>
    </w:p>
    <w:p w:rsidR="008B2043" w:rsidRDefault="008B2043" w:rsidP="008B2043">
      <w:pPr>
        <w:spacing w:after="100" w:afterAutospacing="1"/>
        <w:rPr>
          <w:rFonts w:ascii="Arial" w:hAnsi="Arial" w:cs="Arial"/>
          <w:b/>
          <w:bCs/>
          <w:lang w:eastAsia="en-US"/>
        </w:rPr>
      </w:pPr>
    </w:p>
    <w:p w:rsidR="00921883" w:rsidRPr="00921883" w:rsidRDefault="00921883" w:rsidP="008B2043">
      <w:pPr>
        <w:spacing w:after="100" w:afterAutospacing="1"/>
        <w:rPr>
          <w:rFonts w:ascii="Arial" w:hAnsi="Arial" w:cs="Arial"/>
          <w:lang w:eastAsia="en-US"/>
        </w:rPr>
      </w:pPr>
      <w:r w:rsidRPr="00CE0C51">
        <w:rPr>
          <w:rFonts w:ascii="Arial" w:hAnsi="Arial" w:cs="Arial"/>
          <w:b/>
          <w:bCs/>
          <w:lang w:eastAsia="en-US"/>
        </w:rPr>
        <w:t>CERF (Concurrent Enrollment Revenue) Fund:</w:t>
      </w:r>
      <w:r w:rsidRPr="00CE0C51">
        <w:rPr>
          <w:rFonts w:ascii="Arial" w:hAnsi="Arial" w:cs="Arial"/>
          <w:lang w:eastAsia="en-US"/>
        </w:rPr>
        <w:t> </w:t>
      </w:r>
      <w:r w:rsidRPr="00921883">
        <w:rPr>
          <w:rFonts w:ascii="Arial" w:hAnsi="Arial" w:cs="Arial"/>
          <w:lang w:eastAsia="en-US"/>
        </w:rPr>
        <w:t xml:space="preserve"> This is where revenue from open enrollment, over 60’s, and Graduate Continuous Enrollment.</w:t>
      </w:r>
    </w:p>
    <w:p w:rsidR="00921883" w:rsidRDefault="00921883" w:rsidP="008B2043">
      <w:pPr>
        <w:spacing w:after="100" w:afterAutospacing="1"/>
        <w:rPr>
          <w:rFonts w:ascii="Arial" w:hAnsi="Arial" w:cs="Arial"/>
          <w:lang w:eastAsia="en-US"/>
        </w:rPr>
      </w:pPr>
      <w:r w:rsidRPr="00921883">
        <w:rPr>
          <w:rFonts w:ascii="Arial" w:hAnsi="Arial" w:cs="Arial"/>
          <w:lang w:eastAsia="en-US"/>
        </w:rPr>
        <w:t>Expenditures are to be used for expenses related to the instructional supported activities.</w:t>
      </w:r>
    </w:p>
    <w:p w:rsidR="00921883" w:rsidRDefault="00CE0C51" w:rsidP="008B2043">
      <w:pPr>
        <w:spacing w:after="100" w:afterAutospacing="1"/>
        <w:rPr>
          <w:rFonts w:ascii="Arial" w:hAnsi="Arial" w:cs="Arial"/>
          <w:lang w:eastAsia="en-US"/>
        </w:rPr>
      </w:pPr>
      <w:r>
        <w:rPr>
          <w:rFonts w:ascii="Arial" w:hAnsi="Arial" w:cs="Arial"/>
          <w:lang w:eastAsia="en-US"/>
        </w:rPr>
        <w:t>A</w:t>
      </w:r>
      <w:r w:rsidR="00921883" w:rsidRPr="00921883">
        <w:rPr>
          <w:rFonts w:ascii="Arial" w:hAnsi="Arial" w:cs="Arial"/>
          <w:lang w:eastAsia="en-US"/>
        </w:rPr>
        <w:t xml:space="preserve">.  Some examples of valid expenditures are travel, and recruitment materials related to the development of self-supporting instructional programs.   </w:t>
      </w:r>
    </w:p>
    <w:p w:rsidR="00921883" w:rsidRDefault="00CE0C51" w:rsidP="008B2043">
      <w:pPr>
        <w:spacing w:after="100" w:afterAutospacing="1"/>
        <w:rPr>
          <w:rFonts w:ascii="Arial" w:hAnsi="Arial" w:cs="Arial"/>
          <w:lang w:eastAsia="en-US"/>
        </w:rPr>
      </w:pPr>
      <w:r>
        <w:rPr>
          <w:rFonts w:ascii="Arial" w:hAnsi="Arial" w:cs="Arial"/>
          <w:lang w:eastAsia="en-US"/>
        </w:rPr>
        <w:t>B</w:t>
      </w:r>
      <w:r w:rsidR="00921883" w:rsidRPr="00921883">
        <w:rPr>
          <w:rFonts w:ascii="Arial" w:hAnsi="Arial" w:cs="Arial"/>
          <w:lang w:eastAsia="en-US"/>
        </w:rPr>
        <w:t xml:space="preserve">. Other examples are valid expenditures related to the support of Extended Education’s concurrently enrolled students who use resources without directly contributing to the instructional program, such as Graders or TA support, instructional materials provided to the student, hospitality related to the program, and financial assistance to students supporting completion of their student instructional experience.  </w:t>
      </w:r>
    </w:p>
    <w:p w:rsidR="00921883" w:rsidRPr="00921883" w:rsidRDefault="00CE0C51" w:rsidP="008B2043">
      <w:pPr>
        <w:spacing w:after="100" w:afterAutospacing="1"/>
        <w:rPr>
          <w:rFonts w:ascii="Arial" w:hAnsi="Arial" w:cs="Arial"/>
          <w:lang w:eastAsia="en-US"/>
        </w:rPr>
      </w:pPr>
      <w:r>
        <w:rPr>
          <w:rFonts w:ascii="Arial" w:hAnsi="Arial" w:cs="Arial"/>
          <w:lang w:eastAsia="en-US"/>
        </w:rPr>
        <w:t>C</w:t>
      </w:r>
      <w:r w:rsidR="00921883" w:rsidRPr="00921883">
        <w:rPr>
          <w:rFonts w:ascii="Arial" w:hAnsi="Arial" w:cs="Arial"/>
          <w:lang w:eastAsia="en-US"/>
        </w:rPr>
        <w:t xml:space="preserve">. If using CERF funds to supplement travel, include language in the purpose of the travel to the effect that the </w:t>
      </w:r>
      <w:r w:rsidR="00921883" w:rsidRPr="00921883">
        <w:rPr>
          <w:rFonts w:ascii="Arial" w:hAnsi="Arial" w:cs="Arial"/>
          <w:i/>
          <w:iCs/>
          <w:lang w:eastAsia="en-US"/>
        </w:rPr>
        <w:t>travel will help with the development of instructional activities</w:t>
      </w:r>
      <w:r w:rsidR="00921883" w:rsidRPr="00921883">
        <w:rPr>
          <w:rFonts w:ascii="Arial" w:hAnsi="Arial" w:cs="Arial"/>
          <w:lang w:eastAsia="en-US"/>
        </w:rPr>
        <w:t>.</w:t>
      </w:r>
    </w:p>
    <w:p w:rsidR="00921883" w:rsidRPr="00921883" w:rsidRDefault="00921883" w:rsidP="008B2043">
      <w:pPr>
        <w:spacing w:after="100" w:afterAutospacing="1"/>
        <w:rPr>
          <w:rFonts w:ascii="Arial" w:hAnsi="Arial" w:cs="Arial"/>
          <w:lang w:eastAsia="en-US"/>
        </w:rPr>
      </w:pPr>
      <w:r w:rsidRPr="00921883">
        <w:rPr>
          <w:rFonts w:ascii="Arial" w:hAnsi="Arial" w:cs="Arial"/>
          <w:u w:val="single"/>
          <w:lang w:eastAsia="en-US"/>
        </w:rPr>
        <w:t>Non-allowed expenditures</w:t>
      </w:r>
      <w:r w:rsidRPr="00921883">
        <w:rPr>
          <w:rFonts w:ascii="Arial" w:hAnsi="Arial" w:cs="Arial"/>
          <w:lang w:eastAsia="en-US"/>
        </w:rPr>
        <w:t>:</w:t>
      </w:r>
    </w:p>
    <w:p w:rsidR="00921883" w:rsidRPr="00921883" w:rsidRDefault="00921883" w:rsidP="008B2043">
      <w:pPr>
        <w:spacing w:after="100" w:afterAutospacing="1"/>
        <w:ind w:left="720"/>
        <w:rPr>
          <w:rFonts w:ascii="Arial" w:hAnsi="Arial" w:cs="Arial"/>
          <w:lang w:eastAsia="en-US"/>
        </w:rPr>
      </w:pPr>
      <w:r w:rsidRPr="00921883">
        <w:rPr>
          <w:rFonts w:ascii="Arial" w:hAnsi="Arial" w:cs="Arial"/>
          <w:lang w:eastAsia="en-US"/>
        </w:rPr>
        <w:t>Instructional experiences provided to concurrently enrolled students, beyond basic instruction, such as field trip experiences, or those supplemental instructional experiences provided under the umbrella of the Materials, Services, and Facilities fee should not be expensed in this fund.</w:t>
      </w:r>
    </w:p>
    <w:p w:rsidR="00921883" w:rsidRPr="00921883" w:rsidRDefault="00921883">
      <w:pPr>
        <w:rPr>
          <w:rFonts w:ascii="Arial" w:eastAsia="Times New Roman" w:hAnsi="Arial" w:cs="Arial"/>
        </w:rPr>
      </w:pPr>
    </w:p>
    <w:sectPr w:rsidR="00921883" w:rsidRPr="00921883" w:rsidSect="00C312C4">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DAE"/>
    <w:rsid w:val="002E1802"/>
    <w:rsid w:val="00376DAE"/>
    <w:rsid w:val="00822D2A"/>
    <w:rsid w:val="008B2043"/>
    <w:rsid w:val="00921883"/>
    <w:rsid w:val="00B40FA1"/>
    <w:rsid w:val="00C312C4"/>
    <w:rsid w:val="00CE0C51"/>
    <w:rsid w:val="00EF4CCB"/>
    <w:rsid w:val="00F117CB"/>
    <w:rsid w:val="00F21594"/>
    <w:rsid w:val="00F27CC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21883"/>
    <w:rPr>
      <w:b/>
      <w:bCs/>
    </w:rPr>
  </w:style>
  <w:style w:type="paragraph" w:styleId="NormalWeb">
    <w:name w:val="Normal (Web)"/>
    <w:basedOn w:val="Normal"/>
    <w:uiPriority w:val="99"/>
    <w:unhideWhenUsed/>
    <w:rsid w:val="00921883"/>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EF4CC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21883"/>
    <w:rPr>
      <w:b/>
      <w:bCs/>
    </w:rPr>
  </w:style>
  <w:style w:type="paragraph" w:styleId="NormalWeb">
    <w:name w:val="Normal (Web)"/>
    <w:basedOn w:val="Normal"/>
    <w:uiPriority w:val="99"/>
    <w:unhideWhenUsed/>
    <w:rsid w:val="00921883"/>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EF4C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437498">
      <w:bodyDiv w:val="1"/>
      <w:marLeft w:val="0"/>
      <w:marRight w:val="0"/>
      <w:marTop w:val="0"/>
      <w:marBottom w:val="0"/>
      <w:divBdr>
        <w:top w:val="none" w:sz="0" w:space="0" w:color="auto"/>
        <w:left w:val="none" w:sz="0" w:space="0" w:color="auto"/>
        <w:bottom w:val="none" w:sz="0" w:space="0" w:color="auto"/>
        <w:right w:val="none" w:sz="0" w:space="0" w:color="auto"/>
      </w:divBdr>
    </w:div>
    <w:div w:id="1671638170">
      <w:bodyDiv w:val="1"/>
      <w:marLeft w:val="0"/>
      <w:marRight w:val="0"/>
      <w:marTop w:val="0"/>
      <w:marBottom w:val="0"/>
      <w:divBdr>
        <w:top w:val="none" w:sz="0" w:space="0" w:color="auto"/>
        <w:left w:val="none" w:sz="0" w:space="0" w:color="auto"/>
        <w:bottom w:val="none" w:sz="0" w:space="0" w:color="auto"/>
        <w:right w:val="none" w:sz="0" w:space="0" w:color="auto"/>
      </w:divBdr>
      <w:divsChild>
        <w:div w:id="1429811325">
          <w:marLeft w:val="0"/>
          <w:marRight w:val="0"/>
          <w:marTop w:val="0"/>
          <w:marBottom w:val="0"/>
          <w:divBdr>
            <w:top w:val="none" w:sz="0" w:space="0" w:color="auto"/>
            <w:left w:val="none" w:sz="0" w:space="0" w:color="auto"/>
            <w:bottom w:val="none" w:sz="0" w:space="0" w:color="auto"/>
            <w:right w:val="none" w:sz="0" w:space="0" w:color="auto"/>
          </w:divBdr>
        </w:div>
        <w:div w:id="1121457112">
          <w:marLeft w:val="0"/>
          <w:marRight w:val="0"/>
          <w:marTop w:val="0"/>
          <w:marBottom w:val="0"/>
          <w:divBdr>
            <w:top w:val="none" w:sz="0" w:space="0" w:color="auto"/>
            <w:left w:val="none" w:sz="0" w:space="0" w:color="auto"/>
            <w:bottom w:val="none" w:sz="0" w:space="0" w:color="auto"/>
            <w:right w:val="none" w:sz="0" w:space="0" w:color="auto"/>
          </w:divBdr>
        </w:div>
        <w:div w:id="1252658741">
          <w:marLeft w:val="0"/>
          <w:marRight w:val="0"/>
          <w:marTop w:val="0"/>
          <w:marBottom w:val="0"/>
          <w:divBdr>
            <w:top w:val="none" w:sz="0" w:space="0" w:color="auto"/>
            <w:left w:val="none" w:sz="0" w:space="0" w:color="auto"/>
            <w:bottom w:val="none" w:sz="0" w:space="0" w:color="auto"/>
            <w:right w:val="none" w:sz="0" w:space="0" w:color="auto"/>
          </w:divBdr>
        </w:div>
        <w:div w:id="95445402">
          <w:marLeft w:val="0"/>
          <w:marRight w:val="0"/>
          <w:marTop w:val="0"/>
          <w:marBottom w:val="0"/>
          <w:divBdr>
            <w:top w:val="none" w:sz="0" w:space="0" w:color="auto"/>
            <w:left w:val="none" w:sz="0" w:space="0" w:color="auto"/>
            <w:bottom w:val="none" w:sz="0" w:space="0" w:color="auto"/>
            <w:right w:val="none" w:sz="0" w:space="0" w:color="auto"/>
          </w:divBdr>
        </w:div>
      </w:divsChild>
    </w:div>
    <w:div w:id="21098088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2.humboldt.edu/diversity/diversity-program-grants/guidelines" TargetMode="External"/><Relationship Id="rId6" Type="http://schemas.openxmlformats.org/officeDocument/2006/relationships/hyperlink" Target="http://www2.humboldt.edu/associatedstudents/images/uploads/forms/IRA_Funding_Guidelines_updated_2.5.15.pdf" TargetMode="External"/><Relationship Id="rId7" Type="http://schemas.openxmlformats.org/officeDocument/2006/relationships/hyperlink" Target="https://clubs.humboldt.edu/funding" TargetMode="External"/><Relationship Id="rId8" Type="http://schemas.openxmlformats.org/officeDocument/2006/relationships/hyperlink" Target="https://www2.humboldt.edu/pmc/sites/default/files/Humboldt-Loyalty-Grant-Submission-Guidelines-2016-17.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848</Words>
  <Characters>4839</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A. Patzlaff</dc:creator>
  <cp:keywords/>
  <dc:description/>
  <cp:lastModifiedBy>Kris A. Patzlaff</cp:lastModifiedBy>
  <cp:revision>2</cp:revision>
  <dcterms:created xsi:type="dcterms:W3CDTF">2016-09-19T19:59:00Z</dcterms:created>
  <dcterms:modified xsi:type="dcterms:W3CDTF">2016-09-19T19:59:00Z</dcterms:modified>
</cp:coreProperties>
</file>